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SAIHEAT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and Class B Ordinary Shares, par value $0.0015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To Ma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Vistra Corporate Services Centre, Suite, 23, 1st Floor, Eden Plaza, Eden Island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Mahe, T2,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248 4325 600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Energy Science Artist Holding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642,043.00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642,043.00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642,043.00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Longwin Global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SEYCHELLES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642,043.00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642,043.00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642,043.00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 Ma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642,043.00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642,043.00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642,043.00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19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IN</w:t>
            </w:r>
          </w:p>
        </w:tc>
        <w:tc>
          <w:tcPr>
            <w:tcW w:w="9260" w:type="dxa"/>
            <w:vAlign w:val="bottom"/>
          </w:tcPr>
          <w:p>
            <w:pPr>
              <w:spacing w:after="0"/>
              <w:rPr>
                <w:sz w:val="24"/>
                <w:szCs w:val="24"/>
                <w:color w:val="auto"/>
              </w:rPr>
            </w:pPr>
          </w:p>
        </w:tc>
      </w:tr>
      <w:tr>
        <w:trPr>
          <w:trHeight w:val="453"/>
        </w:trPr>
        <w:tc>
          <w:tcPr>
            <w:tcW w:w="1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2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For box 7, 9 and 11: Represents 642,043 Class B ordinary shares held by Energy Science Artist Holding</w:t>
            </w:r>
          </w:p>
        </w:tc>
      </w:tr>
      <w:tr>
        <w:trPr>
          <w:trHeight w:val="292"/>
        </w:trPr>
        <w:tc>
          <w:tcPr>
            <w:tcW w:w="1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Limited. For box 13: Represents 100% class B ordinary shares</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and Class B Ordinary Shares, par value $0.0015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SAIHEAT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#266A South Bridge Road, #02-01, Singapore, SINGAPORE , 058815.</w:t>
      </w:r>
    </w:p>
    <w:p>
      <w:pPr>
        <w:spacing w:after="0" w:line="20" w:lineRule="exact"/>
        <w:rPr>
          <w:sz w:val="20"/>
          <w:szCs w:val="20"/>
          <w:color w:val="auto"/>
        </w:rPr>
      </w:pPr>
    </w:p>
    <w:p>
      <w:pPr>
        <w:jc w:val="right"/>
        <w:ind w:left="40" w:righ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No.2 to Schedule 13D/A (this "Schedule 13D/A") relates to the Class A ordinary shares, par value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$0.0015 per share (the "Class A ordinary shares") and Class B ordinary shares, par value $0.0015 per share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"Class B ordinary shares"), of SAIHEAT Limited (the "Issuer"), a Cayman Islands exempted company. The address</w:t>
      </w:r>
    </w:p>
    <w:p>
      <w:pPr>
        <w:spacing w:after="0" w:line="1" w:lineRule="exact"/>
        <w:rPr>
          <w:sz w:val="20"/>
          <w:szCs w:val="20"/>
          <w:color w:val="auto"/>
        </w:rPr>
      </w:pPr>
    </w:p>
    <w:p>
      <w:pPr>
        <w:ind w:left="40" w:right="1700" w:firstLine="952"/>
        <w:spacing w:after="0" w:line="283" w:lineRule="auto"/>
        <w:rPr>
          <w:sz w:val="20"/>
          <w:szCs w:val="20"/>
          <w:color w:val="auto"/>
        </w:rPr>
      </w:pPr>
      <w:r>
        <w:rPr>
          <w:rFonts w:ascii="Times New Roman" w:cs="Times New Roman" w:eastAsia="Times New Roman" w:hAnsi="Times New Roman"/>
          <w:sz w:val="22"/>
          <w:szCs w:val="22"/>
          <w:color w:val="auto"/>
        </w:rPr>
        <w:t>of the Issuer's principal executive office is #266A South Bridge Road, #02-01 Singapore (058815). Item 2. Identity and Background</w:t>
      </w:r>
    </w:p>
    <w:p>
      <w:pPr>
        <w:ind w:left="960"/>
        <w:spacing w:after="0"/>
        <w:rPr>
          <w:sz w:val="20"/>
          <w:szCs w:val="20"/>
          <w:color w:val="auto"/>
        </w:rPr>
      </w:pPr>
      <w:r>
        <w:rPr>
          <w:rFonts w:ascii="Times New Roman" w:cs="Times New Roman" w:eastAsia="Times New Roman" w:hAnsi="Times New Roman"/>
          <w:sz w:val="22"/>
          <w:szCs w:val="22"/>
          <w:color w:val="auto"/>
        </w:rPr>
        <w:t>This Schedule 13D/A is filed by (i) Energy Science Artist Holding Limited ("Energy Science"), a British Virgin</w:t>
      </w:r>
    </w:p>
    <w:p>
      <w:pPr>
        <w:spacing w:after="0" w:line="14" w:lineRule="exact"/>
        <w:rPr>
          <w:sz w:val="20"/>
          <w:szCs w:val="20"/>
          <w:color w:val="auto"/>
        </w:rPr>
      </w:pPr>
    </w:p>
    <w:p>
      <w:pPr>
        <w:ind w:left="960" w:right="100" w:hanging="912"/>
        <w:spacing w:after="0" w:line="184" w:lineRule="auto"/>
        <w:tabs>
          <w:tab w:leader="none" w:pos="96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Islands Business Company; (ii) Longwin Global Limited ("Longwin Global"), a Seychelles company; and (iii)To Ma, the sole shareholder of Longwin Global. Energy Science, Longwin Global and To Ma are deemed to be the "Reporting Persons" and, may be referred to herein as each a "Reporting Person".</w:t>
      </w:r>
    </w:p>
    <w:p>
      <w:pPr>
        <w:spacing w:after="0" w:line="18" w:lineRule="exact"/>
        <w:rPr>
          <w:rFonts w:ascii="Times New Roman" w:cs="Times New Roman" w:eastAsia="Times New Roman" w:hAnsi="Times New Roman"/>
          <w:sz w:val="42"/>
          <w:szCs w:val="42"/>
          <w:color w:val="auto"/>
          <w:vertAlign w:val="subscript"/>
        </w:rPr>
      </w:pPr>
    </w:p>
    <w:p>
      <w:pPr>
        <w:ind w:left="96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The business address for Energy Science and Longwin Global is Asia Leading Chambers, Road Town, Tortola</w:t>
      </w:r>
    </w:p>
    <w:p>
      <w:pPr>
        <w:spacing w:after="0" w:line="14" w:lineRule="exact"/>
        <w:rPr>
          <w:rFonts w:ascii="Times New Roman" w:cs="Times New Roman" w:eastAsia="Times New Roman" w:hAnsi="Times New Roman"/>
          <w:sz w:val="42"/>
          <w:szCs w:val="42"/>
          <w:color w:val="auto"/>
          <w:vertAlign w:val="subscript"/>
        </w:rPr>
      </w:pPr>
    </w:p>
    <w:p>
      <w:pPr>
        <w:ind w:left="960" w:right="360" w:hanging="912"/>
        <w:spacing w:after="0" w:line="237" w:lineRule="auto"/>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VG1110, British Virgin Islands and Vistra Corporate Services Centre, Suite 23, 1st Floor, Eden Plaza, Eden Island, Mahe, Republic of Seychelles, respectively</w:t>
      </w:r>
    </w:p>
    <w:p>
      <w:pPr>
        <w:spacing w:after="0" w:line="16" w:lineRule="exact"/>
        <w:rPr>
          <w:rFonts w:ascii="Times New Roman" w:cs="Times New Roman" w:eastAsia="Times New Roman" w:hAnsi="Times New Roman"/>
          <w:sz w:val="22"/>
          <w:szCs w:val="22"/>
          <w:color w:val="auto"/>
        </w:rPr>
      </w:pPr>
    </w:p>
    <w:p>
      <w:pPr>
        <w:ind w:left="960" w:right="280" w:hanging="912"/>
        <w:spacing w:after="0" w:line="185" w:lineRule="auto"/>
        <w:tabs>
          <w:tab w:leader="none" w:pos="96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of each of Energy Science and Longwin Global is to serve as a holding company. To Ma is a private entrepreneur.</w:t>
      </w:r>
    </w:p>
    <w:p>
      <w:pPr>
        <w:spacing w:after="0" w:line="17" w:lineRule="exact"/>
        <w:rPr>
          <w:rFonts w:ascii="Times New Roman" w:cs="Times New Roman" w:eastAsia="Times New Roman" w:hAnsi="Times New Roman"/>
          <w:sz w:val="39"/>
          <w:szCs w:val="39"/>
          <w:color w:val="auto"/>
          <w:vertAlign w:val="subscript"/>
        </w:rPr>
      </w:pPr>
    </w:p>
    <w:p>
      <w:pPr>
        <w:ind w:left="960" w:right="620" w:hanging="912"/>
        <w:spacing w:after="0" w:line="185" w:lineRule="auto"/>
        <w:tabs>
          <w:tab w:leader="none" w:pos="96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 was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60" w:right="320" w:hanging="912"/>
        <w:spacing w:after="0" w:line="184" w:lineRule="auto"/>
        <w:tabs>
          <w:tab w:leader="none" w:pos="96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60"/>
        <w:spacing w:after="0" w:line="236" w:lineRule="auto"/>
        <w:rPr>
          <w:sz w:val="20"/>
          <w:szCs w:val="20"/>
          <w:color w:val="auto"/>
        </w:rPr>
      </w:pPr>
      <w:r>
        <w:rPr>
          <w:rFonts w:ascii="Times New Roman" w:cs="Times New Roman" w:eastAsia="Times New Roman" w:hAnsi="Times New Roman"/>
          <w:sz w:val="22"/>
          <w:szCs w:val="22"/>
          <w:color w:val="auto"/>
        </w:rPr>
        <w:t>On June 5, 2026, Peng Zhang entered into a share transfer form with Longwin Global, pursuant to which Peng Zhang, as transferor, agreed to transfer his one ordinary share of Energy Science, representing 100% issued share capital of Energy Science, to Longwin Global, as transferee (the " Transaction") at a consideration of US$1,000,000. The consummation of the Transaction resulted in a change in control of the Issuer, with To Ma becoming the sole controlling shareholder of the Issuer, holding 84.36% voting power in the Issuer. Subsequent to the Transaction, each of Energy Science and Longwin Global is 100% controlled by its sole shareholder, To Ma.</w:t>
      </w:r>
    </w:p>
    <w:p>
      <w:pPr>
        <w:spacing w:after="0" w:line="1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40"/>
        <w:spacing w:after="0" w:line="253" w:lineRule="auto"/>
        <w:rPr>
          <w:sz w:val="20"/>
          <w:szCs w:val="20"/>
          <w:color w:val="auto"/>
        </w:rPr>
      </w:pPr>
      <w:r>
        <w:rPr>
          <w:rFonts w:ascii="Times New Roman" w:cs="Times New Roman" w:eastAsia="Times New Roman" w:hAnsi="Times New Roman"/>
          <w:sz w:val="21"/>
          <w:szCs w:val="21"/>
          <w:color w:val="auto"/>
        </w:rPr>
        <w:t>See response to Item 3. Except to the extent provided in this Schedule 13D/A, none of the Reporting Persons have any current plans or proposals that relate to, or could result in any of the matters referred to in paragraphs (a) through</w:t>
      </w:r>
    </w:p>
    <w:p>
      <w:pPr>
        <w:ind w:left="1220" w:hanging="254"/>
        <w:spacing w:after="0" w:line="231" w:lineRule="auto"/>
        <w:tabs>
          <w:tab w:leader="none" w:pos="12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inclusive, of Item 4 of this Schedule 13D/A. The Reporting Persons may, at any time and from time to time,</w:t>
      </w:r>
    </w:p>
    <w:p>
      <w:pPr>
        <w:ind w:left="960" w:right="4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or reconsider their positions and/or change their purposes and/or formulate plans or proposals with respect thereto.</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responses to Rows (11) and (13) of the cover pages to this Schedule 13D/A. The percentage used in Row (13) of</w:t>
      </w:r>
    </w:p>
    <w:p>
      <w:pPr>
        <w:sectPr>
          <w:pgSz w:w="11900" w:h="16838" w:orient="portrait"/>
          <w:cols w:equalWidth="0" w:num="1">
            <w:col w:w="11240"/>
          </w:cols>
          <w:pgMar w:left="320" w:top="112" w:right="339" w:bottom="0" w:gutter="0" w:footer="0" w:header="0"/>
        </w:sectPr>
      </w:pPr>
    </w:p>
    <w:bookmarkStart w:id="4" w:name="page5"/>
    <w:bookmarkEnd w:id="4"/>
    <w:p>
      <w:pPr>
        <w:ind w:left="920" w:right="100"/>
        <w:spacing w:after="0" w:line="256" w:lineRule="auto"/>
        <w:rPr>
          <w:sz w:val="20"/>
          <w:szCs w:val="20"/>
          <w:color w:val="auto"/>
        </w:rPr>
      </w:pPr>
      <w:r>
        <w:rPr>
          <w:rFonts w:ascii="Times New Roman" w:cs="Times New Roman" w:eastAsia="Times New Roman" w:hAnsi="Times New Roman"/>
          <w:sz w:val="22"/>
          <w:szCs w:val="22"/>
          <w:color w:val="auto"/>
        </w:rPr>
        <w:t>the cover page to this Schedule 13D/A is calculated based upon 1,190,317 class A ordinary shares and 642,043 Class B ordinary shares currently outstanding.</w:t>
      </w:r>
    </w:p>
    <w:p>
      <w:pPr>
        <w:spacing w:after="0" w:line="1"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responses to Rows (7) through (10) of the cover pages to this Schedule 13D/A.</w:t>
      </w:r>
    </w:p>
    <w:p>
      <w:pPr>
        <w:spacing w:after="0" w:line="44"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disclosed in this Schedule 13D/A, each of the Reporting Persons has not effected any transaction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No person other than the Reporting Persons is known to have the right to receive, or the power to direct the receipt of</w:t>
      </w:r>
    </w:p>
    <w:p>
      <w:pPr>
        <w:spacing w:after="0" w:line="25" w:lineRule="exact"/>
        <w:rPr>
          <w:rFonts w:ascii="Times New Roman" w:cs="Times New Roman" w:eastAsia="Times New Roman" w:hAnsi="Times New Roman"/>
          <w:sz w:val="39"/>
          <w:szCs w:val="39"/>
          <w:color w:val="auto"/>
          <w:vertAlign w:val="subscript"/>
        </w:rPr>
      </w:pPr>
    </w:p>
    <w:p>
      <w:pPr>
        <w:ind w:left="920" w:right="22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from, or proceeds from the sale of, the Class A ordinary shares or the Class B ordinary shares held by the Reporting Person.</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44" w:lineRule="auto"/>
        <w:rPr>
          <w:sz w:val="20"/>
          <w:szCs w:val="20"/>
          <w:color w:val="auto"/>
        </w:rPr>
      </w:pPr>
      <w:r>
        <w:rPr>
          <w:rFonts w:ascii="Times New Roman" w:cs="Times New Roman" w:eastAsia="Times New Roman" w:hAnsi="Times New Roman"/>
          <w:sz w:val="22"/>
          <w:szCs w:val="22"/>
          <w:color w:val="auto"/>
        </w:rPr>
        <w:t>Except as described in this Schedule 13D/A, there are no contracts, arrangements, understandings, or relationships other than as disclosed among the persons named in Item 2 hereof and any other person, with respect to the securities of the Company.</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Joint Filing Agreement dated June 5, 2026, by and among the Reporting Persons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Energy Science Artist Holding Limited</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 Ma</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To Ma / Director</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Longwin Global Limited</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 Ma</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To Ma / Director</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Ma</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 Ma</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To Ma</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SAIHEAT Limited</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June 5,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Energy Science Artist Holding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To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To Ma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Longwin Global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To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To Ma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To Ma</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To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To Ma</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0"/>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2026-06-05T16:24:47Z</dcterms:created>
  <dcterms:modified xsi:type="dcterms:W3CDTF">2026-06-05T16:24:47Z</dcterms:modified>
</cp:coreProperties>
</file>