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1686-6k_saiheat.htm"/>
      <w:bookmarkStart w:id="1" w:name="ksea03016866k_saiheat"/>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001-40368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SAIHEAT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 #266A South Bridge Road, #02-01 Singapore (058815)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SAIHEAT Limited (the “Company”) hereby furnishes the following documents: (i) a notice with respect to the Company’s extraordinary general meeting of shareholders (the “EGM”), which will be held virtually at http://www.virtualshareholdermeeting.com/SAIH2026SM, on August 26, 2026, at 9:00 a.m. Eastern Standard time; (ii) a form of proxy card for use in connection with the EGM, and (iii) a draft of the sixth amended and restated memorandum and articles of association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of the EGM is furnished with this report of foreign private issuer on Form 6-K (this “Form 6-K”) as Exhibit 99.1. The form of proxy card is furnished with this Form 6-K as Exhibit 99.2. The sixth amended and restated memorandum and articles of association of the Company is furnished with this Form 6-K as Exhibit 99.3.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8080" w:type="dxa"/>
        <w:jc w:val="left"/>
        <w:tblInd w:w="0" w:type="dxa"/>
        <w:tblLayout w:type="fixed"/>
        <w:tblCellMar>
          <w:top w:w="0" w:type="dxa"/>
          <w:left w:w="0" w:type="dxa"/>
          <w:bottom w:w="28" w:type="dxa"/>
          <w:right w:w="0" w:type="dxa"/>
        </w:tblCellMar>
      </w:tblPr>
      <w:tblGrid>
        <w:gridCol w:w="1205"/>
        <w:gridCol w:w="60"/>
        <w:gridCol w:w="6815"/>
      </w:tblGrid>
      <w:tr>
        <w:trPr/>
        <w:tc>
          <w:tcPr>
            <w:tcW w:w="1205" w:type="dxa"/>
            <w:tcBorders>
              <w:bottom w:val="single" w:sz="12"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6815" w:type="dxa"/>
            <w:tcBorders>
              <w:bottom w:val="single" w:sz="12" w:space="0" w:color="000000"/>
            </w:tcBorders>
            <w:vAlign w:val="center"/>
          </w:tcPr>
          <w:p>
            <w:pPr>
              <w:pStyle w:val="TableContents"/>
              <w:bidi w:val="0"/>
              <w:spacing w:before="0" w:after="283"/>
              <w:jc w:val="both"/>
              <w:rPr>
                <w:b/>
              </w:rPr>
            </w:pPr>
            <w:r>
              <w:rPr>
                <w:b/>
              </w:rPr>
              <w:t>Description</w:t>
            </w:r>
          </w:p>
        </w:tc>
      </w:tr>
      <w:tr>
        <w:trPr/>
        <w:tc>
          <w:tcPr>
            <w:tcW w:w="1205" w:type="dxa"/>
            <w:tcBorders/>
            <w:shd w:fill="CCEEFF" w:val="clear"/>
            <w:tcMar>
              <w:bottom w:w="0" w:type="dxa"/>
            </w:tcMar>
            <w:vAlign w:val="center"/>
          </w:tcPr>
          <w:p>
            <w:pPr>
              <w:pStyle w:val="TableContents"/>
              <w:bidi w:val="0"/>
              <w:spacing w:before="0" w:after="283"/>
              <w:jc w:val="left"/>
              <w:rPr/>
            </w:pPr>
            <w:r>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15" w:type="dxa"/>
            <w:tcBorders/>
            <w:shd w:fill="CCEEFF" w:val="clear"/>
            <w:tcMar>
              <w:bottom w:w="0" w:type="dxa"/>
            </w:tcMar>
            <w:vAlign w:val="center"/>
          </w:tcPr>
          <w:p>
            <w:pPr>
              <w:pStyle w:val="TableContents"/>
              <w:bidi w:val="0"/>
              <w:spacing w:before="0" w:after="283"/>
              <w:jc w:val="both"/>
              <w:rPr/>
            </w:pPr>
            <w:hyperlink w:anchor="ea030168601ex99-1.htm">
              <w:r>
                <w:rPr>
                  <w:rStyle w:val="InternetLink"/>
                </w:rPr>
                <w:t>Notice of Extraordinary General Meeting</w:t>
              </w:r>
            </w:hyperlink>
          </w:p>
        </w:tc>
      </w:tr>
      <w:tr>
        <w:trPr/>
        <w:tc>
          <w:tcPr>
            <w:tcW w:w="1265" w:type="dxa"/>
            <w:gridSpan w:val="2"/>
            <w:tcBorders/>
            <w:tcMar>
              <w:bottom w:w="0" w:type="dxa"/>
            </w:tcMar>
            <w:vAlign w:val="center"/>
          </w:tcPr>
          <w:p>
            <w:pPr>
              <w:pStyle w:val="TableContents"/>
              <w:bidi w:val="0"/>
              <w:spacing w:before="0" w:after="283"/>
              <w:jc w:val="left"/>
              <w:rPr/>
            </w:pPr>
            <w:r>
              <w:rPr/>
              <w:t>99.2</w:t>
            </w:r>
          </w:p>
        </w:tc>
        <w:tc>
          <w:tcPr>
            <w:tcW w:w="6815" w:type="dxa"/>
            <w:tcBorders/>
            <w:tcMar>
              <w:bottom w:w="0" w:type="dxa"/>
            </w:tcMar>
            <w:vAlign w:val="center"/>
          </w:tcPr>
          <w:p>
            <w:pPr>
              <w:pStyle w:val="TableContents"/>
              <w:bidi w:val="0"/>
              <w:spacing w:before="0" w:after="283"/>
              <w:jc w:val="left"/>
              <w:rPr/>
            </w:pPr>
            <w:hyperlink w:anchor="ea030168601ex99-2.htm">
              <w:r>
                <w:rPr>
                  <w:rStyle w:val="InternetLink"/>
                </w:rPr>
                <w:t>Form of Proxy for the Extraordinary General Meeting</w:t>
              </w:r>
            </w:hyperlink>
          </w:p>
        </w:tc>
      </w:tr>
      <w:tr>
        <w:trPr/>
        <w:tc>
          <w:tcPr>
            <w:tcW w:w="1265" w:type="dxa"/>
            <w:gridSpan w:val="2"/>
            <w:tcBorders/>
            <w:shd w:fill="CCEEFF" w:val="clear"/>
            <w:tcMar>
              <w:bottom w:w="0" w:type="dxa"/>
            </w:tcMar>
            <w:vAlign w:val="center"/>
          </w:tcPr>
          <w:p>
            <w:pPr>
              <w:pStyle w:val="TableContents"/>
              <w:bidi w:val="0"/>
              <w:spacing w:before="0" w:after="283"/>
              <w:jc w:val="left"/>
              <w:rPr/>
            </w:pPr>
            <w:r>
              <w:rPr/>
              <w:t>99.3</w:t>
            </w:r>
          </w:p>
        </w:tc>
        <w:tc>
          <w:tcPr>
            <w:tcW w:w="6815" w:type="dxa"/>
            <w:tcBorders/>
            <w:shd w:fill="CCEEFF" w:val="clear"/>
            <w:tcMar>
              <w:bottom w:w="0" w:type="dxa"/>
            </w:tcMar>
            <w:vAlign w:val="center"/>
          </w:tcPr>
          <w:p>
            <w:pPr>
              <w:pStyle w:val="TableContents"/>
              <w:bidi w:val="0"/>
              <w:spacing w:before="0" w:after="283"/>
              <w:jc w:val="left"/>
              <w:rPr/>
            </w:pPr>
            <w:hyperlink w:anchor="ea030168601ex99-3.htm">
              <w:r>
                <w:rPr>
                  <w:rStyle w:val="InternetLink"/>
                </w:rPr>
                <w:t>Sixth Amended and Restated Memorandum and Articles of Association</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490"/>
        <w:jc w:val="left"/>
        <w:rPr>
          <w:caps w:val="false"/>
          <w:smallCaps w:val="false"/>
        </w:rPr>
      </w:pPr>
      <w:r>
        <w:rPr>
          <w:caps w:val="false"/>
          <w:smallCaps w:val="false"/>
        </w:rPr>
        <w:t> </w:t>
      </w:r>
    </w:p>
    <w:tbl>
      <w:tblPr>
        <w:tblW w:w="2800" w:type="dxa"/>
        <w:jc w:val="left"/>
        <w:tblInd w:w="0" w:type="dxa"/>
        <w:tblLayout w:type="fixed"/>
        <w:tblCellMar>
          <w:top w:w="0" w:type="dxa"/>
          <w:left w:w="0" w:type="dxa"/>
          <w:bottom w:w="0" w:type="dxa"/>
          <w:right w:w="0" w:type="dxa"/>
        </w:tblCellMar>
      </w:tblPr>
      <w:tblGrid>
        <w:gridCol w:w="75"/>
        <w:gridCol w:w="425"/>
        <w:gridCol w:w="2300"/>
      </w:tblGrid>
      <w:tr>
        <w:trPr/>
        <w:tc>
          <w:tcPr>
            <w:tcW w:w="75" w:type="dxa"/>
            <w:tcBorders/>
            <w:vAlign w:val="center"/>
          </w:tcPr>
          <w:p>
            <w:pPr>
              <w:pStyle w:val="TableContents"/>
              <w:bidi w:val="0"/>
              <w:spacing w:before="0" w:after="283"/>
              <w:jc w:val="left"/>
              <w:rPr/>
            </w:pPr>
            <w:r>
              <w:rPr/>
              <w:t> </w:t>
            </w:r>
          </w:p>
        </w:tc>
        <w:tc>
          <w:tcPr>
            <w:tcW w:w="2725" w:type="dxa"/>
            <w:gridSpan w:val="2"/>
            <w:tcBorders/>
            <w:vAlign w:val="center"/>
          </w:tcPr>
          <w:p>
            <w:pPr>
              <w:pStyle w:val="TableContents"/>
              <w:bidi w:val="0"/>
              <w:spacing w:before="0" w:after="283"/>
              <w:jc w:val="left"/>
              <w:rPr>
                <w:b/>
              </w:rPr>
            </w:pPr>
            <w:r>
              <w:rPr>
                <w:b/>
              </w:rPr>
              <w:t>SAIHEAT Limited</w:t>
            </w:r>
          </w:p>
        </w:tc>
      </w:tr>
      <w:tr>
        <w:trPr/>
        <w:tc>
          <w:tcPr>
            <w:tcW w:w="75" w:type="dxa"/>
            <w:tcBorders/>
            <w:vAlign w:val="center"/>
          </w:tcPr>
          <w:p>
            <w:pPr>
              <w:pStyle w:val="TableContents"/>
              <w:bidi w:val="0"/>
              <w:spacing w:before="0" w:after="283"/>
              <w:jc w:val="left"/>
              <w:rPr/>
            </w:pPr>
            <w:r>
              <w:rPr/>
              <w:t> </w:t>
            </w:r>
          </w:p>
        </w:tc>
        <w:tc>
          <w:tcPr>
            <w:tcW w:w="272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By: </w:t>
            </w:r>
          </w:p>
        </w:tc>
        <w:tc>
          <w:tcPr>
            <w:tcW w:w="2300" w:type="dxa"/>
            <w:tcBorders>
              <w:bottom w:val="single" w:sz="12" w:space="0" w:color="000000"/>
            </w:tcBorders>
            <w:tcMar>
              <w:bottom w:w="28" w:type="dxa"/>
            </w:tcMar>
            <w:vAlign w:val="center"/>
          </w:tcPr>
          <w:p>
            <w:pPr>
              <w:pStyle w:val="TableContents"/>
              <w:bidi w:val="0"/>
              <w:spacing w:before="0" w:after="283"/>
              <w:jc w:val="left"/>
              <w:rPr/>
            </w:pPr>
            <w:r>
              <w:rPr/>
              <w:t>/s/ Jianwei Li</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Jianwei Li</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 w:name="ea030168601ex99-1.htm"/>
      <w:bookmarkStart w:id="3" w:name="ksea030168601ex991"/>
      <w:bookmarkEnd w:id="2"/>
      <w:bookmarkEnd w:id="3"/>
      <w:r>
        <w:rPr>
          <w:b/>
        </w:rPr>
        <w:t>Exhibit 99.1</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SAIHEAT Limited</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(Incorporated in the Cayman Islands with Limited Liability)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 #266A South Bridge Road, #02-01 Singapore (058815)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EXTRAORDINARY GENERAL MEETING OF SHAREHOLDERS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To Be Held on August 26,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NOTICE IS HEREBY GIVEN THAT</w:t>
      </w:r>
      <w:r>
        <w:rPr>
          <w:rFonts w:ascii="Times New Roman;Times;Serif" w:hAnsi="Times New Roman;Times;Serif"/>
          <w:b w:val="false"/>
          <w:i w:val="false"/>
          <w:caps w:val="false"/>
          <w:smallCaps w:val="false"/>
          <w:sz w:val="20"/>
        </w:rPr>
        <w:t xml:space="preserve"> an extraordinary general meeting (the “</w:t>
      </w:r>
      <w:r>
        <w:rPr>
          <w:rFonts w:ascii="Times New Roman;Times;Serif" w:hAnsi="Times New Roman;Times;Serif"/>
          <w:b w:val="false"/>
          <w:i/>
          <w:caps w:val="false"/>
          <w:smallCaps w:val="false"/>
          <w:sz w:val="20"/>
        </w:rPr>
        <w:t>EGM</w:t>
      </w:r>
      <w:r>
        <w:rPr>
          <w:rFonts w:ascii="Times New Roman;Times;Serif" w:hAnsi="Times New Roman;Times;Serif"/>
          <w:b w:val="false"/>
          <w:i w:val="false"/>
          <w:caps w:val="false"/>
          <w:smallCaps w:val="false"/>
          <w:sz w:val="20"/>
        </w:rPr>
        <w:t>”) of the shareholders of SAIHEAT Limited (the “</w:t>
      </w:r>
      <w:r>
        <w:rPr>
          <w:rFonts w:ascii="Times New Roman;Times;Serif" w:hAnsi="Times New Roman;Times;Serif"/>
          <w:b w:val="false"/>
          <w:i/>
          <w:caps w:val="false"/>
          <w:smallCaps w:val="false"/>
          <w:sz w:val="20"/>
        </w:rPr>
        <w:t>Company</w:t>
      </w:r>
      <w:r>
        <w:rPr>
          <w:rFonts w:ascii="Times New Roman;Times;Serif" w:hAnsi="Times New Roman;Times;Serif"/>
          <w:b w:val="false"/>
          <w:i w:val="false"/>
          <w:caps w:val="false"/>
          <w:smallCaps w:val="false"/>
          <w:sz w:val="20"/>
        </w:rPr>
        <w:t xml:space="preserve">”) will be held on August 26, 2026, at 9:00 a.m. Eastern Standard Time, </w:t>
      </w:r>
      <w:r>
        <w:rPr>
          <w:rFonts w:ascii="Times New Roman;Times;Serif" w:hAnsi="Times New Roman;Times;Serif"/>
          <w:b w:val="false"/>
          <w:i w:val="false"/>
          <w:caps w:val="false"/>
          <w:smallCaps w:val="false"/>
          <w:sz w:val="20"/>
          <w:shd w:fill="FFFFFF" w:val="clear"/>
        </w:rPr>
        <w:t>virtually at http://www.virtualshareholdermeeting.com/SAIH2026SM</w:t>
      </w:r>
      <w:r>
        <w:rPr>
          <w:rFonts w:ascii="Times New Roman;Times;Serif" w:hAnsi="Times New Roman;Times;Serif"/>
          <w:b w:val="false"/>
          <w:i w:val="false"/>
          <w:caps w:val="false"/>
          <w:smallCaps w:val="false"/>
          <w:sz w:val="20"/>
        </w:rPr>
        <w:t>. We hope you will be able to attend the EGM.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in the report on Form 6-K dated August 10, 2026 filed by the Company with the U.S. Securities and Exchange Commission, on August 10, 2026, the Company entered into an Agreement and Plan of Merger (the “</w:t>
      </w:r>
      <w:r>
        <w:rPr>
          <w:rFonts w:ascii="Times New Roman;Times;Serif" w:hAnsi="Times New Roman;Times;Serif"/>
          <w:b w:val="false"/>
          <w:i/>
          <w:caps w:val="false"/>
          <w:smallCaps w:val="false"/>
          <w:sz w:val="20"/>
        </w:rPr>
        <w:t>Merger Agreement</w:t>
      </w:r>
      <w:r>
        <w:rPr>
          <w:rFonts w:ascii="Times New Roman;Times;Serif" w:hAnsi="Times New Roman;Times;Serif"/>
          <w:b w:val="false"/>
          <w:i w:val="false"/>
          <w:caps w:val="false"/>
          <w:smallCaps w:val="false"/>
          <w:sz w:val="20"/>
        </w:rPr>
        <w:t>”) with Saiheat Merger Sub, Inc., a Delaware corporation and wholly owned subsidiary of the Company (“</w:t>
      </w:r>
      <w:r>
        <w:rPr>
          <w:rFonts w:ascii="Times New Roman;Times;Serif" w:hAnsi="Times New Roman;Times;Serif"/>
          <w:b w:val="false"/>
          <w:i/>
          <w:caps w:val="false"/>
          <w:smallCaps w:val="false"/>
          <w:sz w:val="20"/>
        </w:rPr>
        <w:t>Merger Sub</w:t>
      </w:r>
      <w:r>
        <w:rPr>
          <w:rFonts w:ascii="Times New Roman;Times;Serif" w:hAnsi="Times New Roman;Times;Serif"/>
          <w:b w:val="false"/>
          <w:i w:val="false"/>
          <w:caps w:val="false"/>
          <w:smallCaps w:val="false"/>
          <w:sz w:val="20"/>
        </w:rPr>
        <w:t>”), Canopy Wave Inc., a Delaware corporation (“</w:t>
      </w:r>
      <w:r>
        <w:rPr>
          <w:rFonts w:ascii="Times New Roman;Times;Serif" w:hAnsi="Times New Roman;Times;Serif"/>
          <w:b w:val="false"/>
          <w:i/>
          <w:caps w:val="false"/>
          <w:smallCaps w:val="false"/>
          <w:sz w:val="20"/>
        </w:rPr>
        <w:t>Canopy Wave</w:t>
      </w:r>
      <w:r>
        <w:rPr>
          <w:rFonts w:ascii="Times New Roman;Times;Serif" w:hAnsi="Times New Roman;Times;Serif"/>
          <w:b w:val="false"/>
          <w:i w:val="false"/>
          <w:caps w:val="false"/>
          <w:smallCaps w:val="false"/>
          <w:sz w:val="20"/>
        </w:rPr>
        <w:t>” or the “</w:t>
      </w:r>
      <w:r>
        <w:rPr>
          <w:rFonts w:ascii="Times New Roman;Times;Serif" w:hAnsi="Times New Roman;Times;Serif"/>
          <w:b w:val="false"/>
          <w:i/>
          <w:caps w:val="false"/>
          <w:smallCaps w:val="false"/>
          <w:sz w:val="20"/>
        </w:rPr>
        <w:t>Target</w:t>
      </w:r>
      <w:r>
        <w:rPr>
          <w:rFonts w:ascii="Times New Roman;Times;Serif" w:hAnsi="Times New Roman;Times;Serif"/>
          <w:b w:val="false"/>
          <w:i w:val="false"/>
          <w:caps w:val="false"/>
          <w:smallCaps w:val="false"/>
          <w:sz w:val="20"/>
        </w:rPr>
        <w:t>”), and the Target’s stockholders, Taoyue (Tao) Zhang (“</w:t>
      </w:r>
      <w:r>
        <w:rPr>
          <w:rFonts w:ascii="Times New Roman;Times;Serif" w:hAnsi="Times New Roman;Times;Serif"/>
          <w:b w:val="false"/>
          <w:i/>
          <w:caps w:val="false"/>
          <w:smallCaps w:val="false"/>
          <w:sz w:val="20"/>
        </w:rPr>
        <w:t>Mr. Zhang</w:t>
      </w:r>
      <w:r>
        <w:rPr>
          <w:rFonts w:ascii="Times New Roman;Times;Serif" w:hAnsi="Times New Roman;Times;Serif"/>
          <w:b w:val="false"/>
          <w:i w:val="false"/>
          <w:caps w:val="false"/>
          <w:smallCaps w:val="false"/>
          <w:sz w:val="20"/>
        </w:rPr>
        <w:t>”) and Chunyi (James) Liao (“</w:t>
      </w:r>
      <w:r>
        <w:rPr>
          <w:rFonts w:ascii="Times New Roman;Times;Serif" w:hAnsi="Times New Roman;Times;Serif"/>
          <w:b w:val="false"/>
          <w:i/>
          <w:caps w:val="false"/>
          <w:smallCaps w:val="false"/>
          <w:sz w:val="20"/>
        </w:rPr>
        <w:t>Mr. Liao</w:t>
      </w:r>
      <w:r>
        <w:rPr>
          <w:rFonts w:ascii="Times New Roman;Times;Serif" w:hAnsi="Times New Roman;Times;Serif"/>
          <w:b w:val="false"/>
          <w:i w:val="false"/>
          <w:caps w:val="false"/>
          <w:smallCaps w:val="false"/>
          <w:sz w:val="20"/>
        </w:rPr>
        <w:t>,” together with Mr. Zhang, the “</w:t>
      </w:r>
      <w:r>
        <w:rPr>
          <w:rFonts w:ascii="Times New Roman;Times;Serif" w:hAnsi="Times New Roman;Times;Serif"/>
          <w:b w:val="false"/>
          <w:i/>
          <w:caps w:val="false"/>
          <w:smallCaps w:val="false"/>
          <w:sz w:val="20"/>
        </w:rPr>
        <w:t>Sellers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Founded in 2024 and headquartered in Santa Clara, California, Canopy Wave is a pioneering provider of artificial intelligence (AI) infrastructure and high-performance inference platforms. Canopy Wave delivers secure, scalable GPU-as-a-Service (GPUaaS), and optimized inference services tailored specifically for open-weight AI models. By eliminating infrastructure bottlenecks, Canopy Wave empowers enterprise developers and global AI laboratories to build, deploy, and scale next-generation intelligent applications seamlessly. Driven by a commitment to rigorous data security, maximum computational efficiency, and elite scalability, Canopy Wave provides the critical foundational compute required to accelerate global AI innovation. Canopy Wave’s principal service offerings include:</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AI infrastructure management service: Design and deploy key AI infrastructure, including GPU servers, storage, and networking, with a focus on AI model training and inference, operated with engineering excellence and secured operation certified with System and Organization Controls 2.</w:t>
            </w:r>
          </w:p>
        </w:tc>
      </w:tr>
    </w:tbl>
    <w:p>
      <w:pPr>
        <w:pStyle w:val="TextBody"/>
        <w:bidi w:val="0"/>
        <w:spacing w:before="0" w:after="0"/>
        <w:ind w:left="720" w:right="0" w:firstLine="360"/>
        <w:jc w:val="both"/>
        <w:rPr>
          <w:caps w:val="false"/>
          <w:smallCaps w:val="false"/>
        </w:rPr>
      </w:pPr>
      <w:r>
        <w:rPr>
          <w:caps w:val="false"/>
          <w:smallCaps w:val="false"/>
        </w:rPr>
        <w:t> </w:t>
      </w:r>
    </w:p>
    <w:tbl>
      <w:tblPr>
        <w:tblW w:w="9903" w:type="dxa"/>
        <w:jc w:val="left"/>
        <w:tblInd w:w="0" w:type="dxa"/>
        <w:tblLayout w:type="fixed"/>
        <w:tblCellMar>
          <w:top w:w="0" w:type="dxa"/>
          <w:left w:w="0" w:type="dxa"/>
          <w:bottom w:w="0" w:type="dxa"/>
          <w:right w:w="0" w:type="dxa"/>
        </w:tblCellMar>
      </w:tblPr>
      <w:tblGrid>
        <w:gridCol w:w="38"/>
        <w:gridCol w:w="170"/>
        <w:gridCol w:w="96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95" w:type="dxa"/>
            <w:tcBorders/>
            <w:vAlign w:val="center"/>
          </w:tcPr>
          <w:p>
            <w:pPr>
              <w:pStyle w:val="TableContents"/>
              <w:bidi w:val="0"/>
              <w:spacing w:before="0" w:after="283"/>
              <w:jc w:val="both"/>
              <w:rPr/>
            </w:pPr>
            <w:r>
              <w:rPr/>
              <w:t>GPU-as-a-Service: Create virtual private cloud to enable enterprises to lease and use GPU on demand.</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Inference-as-a-Service: An inference platform that delivers optimized token services with endpoints powered by a performance-tuned inference engine.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Canopy Wave launched its AI infrastructure and GPU-as-a-Service offerings in 2024, generating more than US$15 million in aggregate revenue since the launch. Inference-as-a-Service was launched in November 2025 with encouraging growth since that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merger consideration will consist entirely of newly issued and issuable class A ordinary shares of the Company of a par value of US$0.0015 each (“</w:t>
      </w:r>
      <w:r>
        <w:rPr>
          <w:rFonts w:ascii="Times New Roman;Times;Serif" w:hAnsi="Times New Roman;Times;Serif"/>
          <w:b w:val="false"/>
          <w:i/>
          <w:caps w:val="false"/>
          <w:smallCaps w:val="false"/>
          <w:sz w:val="20"/>
        </w:rPr>
        <w:t>Class A Ordinary Shares</w:t>
      </w:r>
      <w:r>
        <w:rPr>
          <w:rFonts w:ascii="Times New Roman;Times;Serif" w:hAnsi="Times New Roman;Times;Serif"/>
          <w:b w:val="false"/>
          <w:i w:val="false"/>
          <w:caps w:val="false"/>
          <w:smallCaps w:val="false"/>
          <w:sz w:val="20"/>
        </w:rPr>
        <w:t>”) and class B ordinary shares of the Company of a par value of US$0.0015 each (“</w:t>
      </w:r>
      <w:r>
        <w:rPr>
          <w:rFonts w:ascii="Times New Roman;Times;Serif" w:hAnsi="Times New Roman;Times;Serif"/>
          <w:b w:val="false"/>
          <w:i/>
          <w:caps w:val="false"/>
          <w:smallCaps w:val="false"/>
          <w:sz w:val="20"/>
        </w:rPr>
        <w:t>Class B Ordinary Shares</w:t>
      </w:r>
      <w:r>
        <w:rPr>
          <w:rFonts w:ascii="Times New Roman;Times;Serif" w:hAnsi="Times New Roman;Times;Serif"/>
          <w:b w:val="false"/>
          <w:i w:val="false"/>
          <w:caps w:val="false"/>
          <w:smallCaps w:val="false"/>
          <w:sz w:val="20"/>
        </w:rPr>
        <w:t>” and, together with the Class A Ordinary Shares, the “</w:t>
      </w:r>
      <w:r>
        <w:rPr>
          <w:rFonts w:ascii="Times New Roman;Times;Serif" w:hAnsi="Times New Roman;Times;Serif"/>
          <w:b w:val="false"/>
          <w:i/>
          <w:caps w:val="false"/>
          <w:smallCaps w:val="false"/>
          <w:sz w:val="20"/>
        </w:rPr>
        <w:t>Ordinary Shares</w:t>
      </w:r>
      <w:r>
        <w:rPr>
          <w:rFonts w:ascii="Times New Roman;Times;Serif" w:hAnsi="Times New Roman;Times;Serif"/>
          <w:b w:val="false"/>
          <w:i w:val="false"/>
          <w:caps w:val="false"/>
          <w:smallCaps w:val="false"/>
          <w:sz w:val="20"/>
        </w:rPr>
        <w:t>”), comprising an aggregate of 3,306,269 Ordinary Shares (the “</w:t>
      </w:r>
      <w:r>
        <w:rPr>
          <w:rFonts w:ascii="Times New Roman;Times;Serif" w:hAnsi="Times New Roman;Times;Serif"/>
          <w:b w:val="false"/>
          <w:i/>
          <w:caps w:val="false"/>
          <w:smallCaps w:val="false"/>
          <w:sz w:val="20"/>
        </w:rPr>
        <w:t>Consideration Shares</w:t>
      </w:r>
      <w:r>
        <w:rPr>
          <w:rFonts w:ascii="Times New Roman;Times;Serif" w:hAnsi="Times New Roman;Times;Serif"/>
          <w:b w:val="false"/>
          <w:i w:val="false"/>
          <w:caps w:val="false"/>
          <w:smallCaps w:val="false"/>
          <w:sz w:val="20"/>
        </w:rPr>
        <w:t>”), consisting of: (a) 2,624,152 Class A Ordinary Shares and 496,442 Class B Ordinary Shares to be issued to the Sellers in exchange for all outstanding shares of the Target’s common stock, structured so that each Seller will receive 1,312,076 Class A Ordinary Shares and 248,221 Class B Ordinary Shares; and (b) 185,675 Class A Ordinary Shares comprising a reserved option pool for issuance upon exercise of options granted to certain of the Target’s option holders. Each Class B Ordinary Share will carry ten (10) votes per share, while each Class A Ordinary Share will carry one (1) vote per share, as set forth in the sixth amended and restated memorandum and articles of association of the Company that is proposed to be adopted at the EGM (the “</w:t>
      </w:r>
      <w:r>
        <w:rPr>
          <w:rFonts w:ascii="Times New Roman;Times;Serif" w:hAnsi="Times New Roman;Times;Serif"/>
          <w:b w:val="false"/>
          <w:i/>
          <w:caps w:val="false"/>
          <w:smallCaps w:val="false"/>
          <w:sz w:val="20"/>
        </w:rPr>
        <w:t>A&amp;R MAA</w:t>
      </w:r>
      <w:r>
        <w:rPr>
          <w:rFonts w:ascii="Times New Roman;Times;Serif" w:hAnsi="Times New Roman;Times;Serif"/>
          <w:b w:val="false"/>
          <w:i w:val="false"/>
          <w:caps w:val="false"/>
          <w:smallCaps w:val="false"/>
          <w:sz w:val="20"/>
        </w:rPr>
        <w:t>”). The number of Consideration Shares has been determined based on (i) the Target’s pre-money equity valuation of US$60.0 million, (ii) the Company’s pre-money equity valuation of US$40.0 million, and (iii) the total issued and outstanding share capital of the Company (including shares reserved for issuance under the Company’s existing equity incentive plan), implying a price of US$18.15 per Class A Ordinary Share (the “</w:t>
      </w:r>
      <w:r>
        <w:rPr>
          <w:rFonts w:ascii="Times New Roman;Times;Serif" w:hAnsi="Times New Roman;Times;Serif"/>
          <w:b w:val="false"/>
          <w:i/>
          <w:caps w:val="false"/>
          <w:smallCaps w:val="false"/>
          <w:sz w:val="20"/>
        </w:rPr>
        <w:t>Per Share Purchase Price</w:t>
      </w:r>
      <w:r>
        <w:rPr>
          <w:rFonts w:ascii="Times New Roman;Times;Serif" w:hAnsi="Times New Roman;Times;Serif"/>
          <w:b w:val="false"/>
          <w:i w:val="false"/>
          <w:caps w:val="false"/>
          <w:smallCaps w:val="false"/>
          <w:sz w:val="20"/>
        </w:rPr>
        <w:t>”). The number of Consideration Shares is fixed and is not subject to adjustment based on changes in the Company’s or the Target’s valuation or share price between the date of the Merger Agreement and the Closing, except for customary anti-dilution adjustments as set forth in the 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Seller has agreed that, during the period commencing on the date of the Closing (the “</w:t>
      </w:r>
      <w:r>
        <w:rPr>
          <w:rFonts w:ascii="Times New Roman;Times;Serif" w:hAnsi="Times New Roman;Times;Serif"/>
          <w:b w:val="false"/>
          <w:i/>
          <w:caps w:val="false"/>
          <w:smallCaps w:val="false"/>
          <w:sz w:val="20"/>
        </w:rPr>
        <w:t>Closing Date</w:t>
      </w:r>
      <w:r>
        <w:rPr>
          <w:rFonts w:ascii="Times New Roman;Times;Serif" w:hAnsi="Times New Roman;Times;Serif"/>
          <w:b w:val="false"/>
          <w:i w:val="false"/>
          <w:caps w:val="false"/>
          <w:smallCaps w:val="false"/>
          <w:sz w:val="20"/>
        </w:rPr>
        <w:t>”) and ending on the date that is six (6) months after the Closing Date (the “</w:t>
      </w:r>
      <w:r>
        <w:rPr>
          <w:rFonts w:ascii="Times New Roman;Times;Serif" w:hAnsi="Times New Roman;Times;Serif"/>
          <w:b w:val="false"/>
          <w:i/>
          <w:caps w:val="false"/>
          <w:smallCaps w:val="false"/>
          <w:sz w:val="20"/>
        </w:rPr>
        <w:t>Lock-Up Period</w:t>
      </w:r>
      <w:r>
        <w:rPr>
          <w:rFonts w:ascii="Times New Roman;Times;Serif" w:hAnsi="Times New Roman;Times;Serif"/>
          <w:b w:val="false"/>
          <w:i w:val="false"/>
          <w:caps w:val="false"/>
          <w:smallCaps w:val="false"/>
          <w:sz w:val="20"/>
        </w:rPr>
        <w:t>”), such Seller will not, directly or indirectly, sell, offer to sell, contract to sell, pledge, hypothecate, lend, grant any option, right or warrant to purchase, transfer, assign or otherwise dispose of, convert into Class A Ordinary Shares, or enter into any swap, hedge or other arrangement that transfers to any person, in whole or in part, any of the economic consequences of ownership of, any Consideration Shares (including any Class B Ordinary Shares). Any purported transfer or conversion in violation of the lock-up restrictions will be null and void and the Company will be entitled to instruct its transfer agent to decline to register any such transfer or conversion and to place appropriate stop-transfer instructions and restrictive legends on the applicable Consideration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Merger Agreement, the Target will merge with and into Merger Sub, with Merger Sub surviving as a wholly owned subsidiary of the Company and the Target ceasing to exist as a separate entity (the “</w:t>
      </w:r>
      <w:r>
        <w:rPr>
          <w:rFonts w:ascii="Times New Roman;Times;Serif" w:hAnsi="Times New Roman;Times;Serif"/>
          <w:b w:val="false"/>
          <w:i/>
          <w:caps w:val="false"/>
          <w:smallCaps w:val="false"/>
          <w:sz w:val="20"/>
        </w:rPr>
        <w:t>Merger</w:t>
      </w:r>
      <w:r>
        <w:rPr>
          <w:rFonts w:ascii="Times New Roman;Times;Serif" w:hAnsi="Times New Roman;Times;Serif"/>
          <w:b w:val="false"/>
          <w:i w:val="false"/>
          <w:caps w:val="false"/>
          <w:smallCaps w:val="false"/>
          <w:sz w:val="20"/>
        </w:rPr>
        <w:t>”). Upon completion of the Merger (the “</w:t>
      </w:r>
      <w:r>
        <w:rPr>
          <w:rFonts w:ascii="Times New Roman;Times;Serif" w:hAnsi="Times New Roman;Times;Serif"/>
          <w:b w:val="false"/>
          <w:i/>
          <w:caps w:val="false"/>
          <w:smallCaps w:val="false"/>
          <w:sz w:val="20"/>
        </w:rPr>
        <w:t>Closing</w:t>
      </w:r>
      <w:r>
        <w:rPr>
          <w:rFonts w:ascii="Times New Roman;Times;Serif" w:hAnsi="Times New Roman;Times;Serif"/>
          <w:b w:val="false"/>
          <w:i w:val="false"/>
          <w:caps w:val="false"/>
          <w:smallCaps w:val="false"/>
          <w:sz w:val="20"/>
        </w:rPr>
        <w:t>”), the Company will be renamed “Canopy Wave Holdings Inc.” and is expected to continue to be listed on Nasdaq under a new ticker symbol “CWAV”, subject to applicable approvals. Following the Closing, the Sellers are expected to collectively hold a majority of the Company’s economic interests and voting power on a fully diluted basis. The post-Closing officers of the Company will include Mr. Zhang as Chief Executive Officer and Chief Operating Officer, and Mr. Liao as Chief Technology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execution of the Merger Agreement, on August 10, 2026, the Company also entered into: (i) a Support Agreement with Energy Science Artist Holding Limited (“</w:t>
      </w:r>
      <w:r>
        <w:rPr>
          <w:rFonts w:ascii="Times New Roman;Times;Serif" w:hAnsi="Times New Roman;Times;Serif"/>
          <w:b w:val="false"/>
          <w:i/>
          <w:caps w:val="false"/>
          <w:smallCaps w:val="false"/>
          <w:sz w:val="20"/>
        </w:rPr>
        <w:t>Energy Science</w:t>
      </w:r>
      <w:r>
        <w:rPr>
          <w:rFonts w:ascii="Times New Roman;Times;Serif" w:hAnsi="Times New Roman;Times;Serif"/>
          <w:b w:val="false"/>
          <w:i w:val="false"/>
          <w:caps w:val="false"/>
          <w:smallCaps w:val="false"/>
          <w:sz w:val="20"/>
        </w:rPr>
        <w:t>”), the registered holder of all of the Company’s issued and outstanding Class B Ordinary Shares, pursuant to which Energy Science has agreed, among other things, to vote in favor of the adoption of the A&amp;R MAA conditional upon the Merger and to convert all of its Class B Ordinary Shares into Class A Ordinary Shares prior to the Closing; and (ii) Option and Exchange Agreements with the Target and the Target’s option holders, pursuant to which each outstanding and unexercised option to purchase shares of the Target’s common stock, whether or not vested, will be cancelled and exchanged for an option to purchase Class A Ordinary Shares, with the number of shares subject to, and the exercise price of, each such new option determined so as to preserve, on a per-share basis, the ratio of exercise price to fair market value that existed immediately prior to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28, 2026, the Company entered into a registration rights agreement with Energy Science (the “</w:t>
      </w:r>
      <w:r>
        <w:rPr>
          <w:rFonts w:ascii="Times New Roman;Times;Serif" w:hAnsi="Times New Roman;Times;Serif"/>
          <w:b w:val="false"/>
          <w:i/>
          <w:caps w:val="false"/>
          <w:smallCaps w:val="false"/>
          <w:sz w:val="20"/>
        </w:rPr>
        <w:t>Energy Science Registration Rights Agreement</w:t>
      </w:r>
      <w:r>
        <w:rPr>
          <w:rFonts w:ascii="Times New Roman;Times;Serif" w:hAnsi="Times New Roman;Times;Serif"/>
          <w:b w:val="false"/>
          <w:i w:val="false"/>
          <w:caps w:val="false"/>
          <w:smallCaps w:val="false"/>
          <w:sz w:val="20"/>
        </w:rPr>
        <w:t>”), pursuant to which the Company agreed, in consideration of Energy Science’s agreement to convert its Class B Ordinary Shares and support the Merger, to register for resale under the Securities Act of 1933, as amended (the “</w:t>
      </w:r>
      <w:r>
        <w:rPr>
          <w:rFonts w:ascii="Times New Roman;Times;Serif" w:hAnsi="Times New Roman;Times;Serif"/>
          <w:b w:val="false"/>
          <w:i/>
          <w:caps w:val="false"/>
          <w:smallCaps w:val="false"/>
          <w:sz w:val="20"/>
        </w:rPr>
        <w:t>Securities Act</w:t>
      </w:r>
      <w:r>
        <w:rPr>
          <w:rFonts w:ascii="Times New Roman;Times;Serif" w:hAnsi="Times New Roman;Times;Serif"/>
          <w:b w:val="false"/>
          <w:i w:val="false"/>
          <w:caps w:val="false"/>
          <w:smallCaps w:val="false"/>
          <w:sz w:val="20"/>
        </w:rPr>
        <w:t>”), all Class A Ordinary Shares issued to Energy Science upon such conversion, by filing a registration statement within thirty (30) days following the Closing and using reasonable best efforts to cause it to become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10, 2026, the Company entered into a PIPE Share Purchase Agreement (the “</w:t>
      </w:r>
      <w:r>
        <w:rPr>
          <w:rFonts w:ascii="Times New Roman;Times;Serif" w:hAnsi="Times New Roman;Times;Serif"/>
          <w:b w:val="false"/>
          <w:i/>
          <w:caps w:val="false"/>
          <w:smallCaps w:val="false"/>
          <w:sz w:val="20"/>
        </w:rPr>
        <w:t>PIPE Share Purchase Agreement</w:t>
      </w:r>
      <w:r>
        <w:rPr>
          <w:rFonts w:ascii="Times New Roman;Times;Serif" w:hAnsi="Times New Roman;Times;Serif"/>
          <w:b w:val="false"/>
          <w:i w:val="false"/>
          <w:caps w:val="false"/>
          <w:smallCaps w:val="false"/>
          <w:sz w:val="20"/>
        </w:rPr>
        <w:t>”, together with the Merger Agreement, the Support Agreement, the Option and Exchange Agreements, and the Energy Science Registration Rights Agreement, collectively, the “</w:t>
      </w:r>
      <w:r>
        <w:rPr>
          <w:rFonts w:ascii="Times New Roman;Times;Serif" w:hAnsi="Times New Roman;Times;Serif"/>
          <w:b w:val="false"/>
          <w:i/>
          <w:caps w:val="false"/>
          <w:smallCaps w:val="false"/>
          <w:sz w:val="20"/>
        </w:rPr>
        <w:t>Transaction Agreements</w:t>
      </w:r>
      <w:r>
        <w:rPr>
          <w:rFonts w:ascii="Times New Roman;Times;Serif" w:hAnsi="Times New Roman;Times;Serif"/>
          <w:b w:val="false"/>
          <w:i w:val="false"/>
          <w:caps w:val="false"/>
          <w:smallCaps w:val="false"/>
          <w:sz w:val="20"/>
        </w:rPr>
        <w:t>”, copies of which were furnished as exhibits to the Company’s Report on Form 6-K dated August 10, 2026) with certain investors (the “</w:t>
      </w:r>
      <w:r>
        <w:rPr>
          <w:rFonts w:ascii="Times New Roman;Times;Serif" w:hAnsi="Times New Roman;Times;Serif"/>
          <w:b w:val="false"/>
          <w:i/>
          <w:caps w:val="false"/>
          <w:smallCaps w:val="false"/>
          <w:sz w:val="20"/>
        </w:rPr>
        <w:t>PIPE Investors</w:t>
      </w:r>
      <w:r>
        <w:rPr>
          <w:rFonts w:ascii="Times New Roman;Times;Serif" w:hAnsi="Times New Roman;Times;Serif"/>
          <w:b w:val="false"/>
          <w:i w:val="false"/>
          <w:caps w:val="false"/>
          <w:smallCaps w:val="false"/>
          <w:sz w:val="20"/>
        </w:rPr>
        <w:t>”), pursuant to which the Company agreed to sell to the PIPE Investors, and the PIPE Investors agreed to purchase from the Company, an aggregate of 247,970 Class A Ordinary Shares (the “</w:t>
      </w:r>
      <w:r>
        <w:rPr>
          <w:rFonts w:ascii="Times New Roman;Times;Serif" w:hAnsi="Times New Roman;Times;Serif"/>
          <w:b w:val="false"/>
          <w:i/>
          <w:caps w:val="false"/>
          <w:smallCaps w:val="false"/>
          <w:sz w:val="20"/>
        </w:rPr>
        <w:t>PIPE Shares</w:t>
      </w:r>
      <w:r>
        <w:rPr>
          <w:rFonts w:ascii="Times New Roman;Times;Serif" w:hAnsi="Times New Roman;Times;Serif"/>
          <w:b w:val="false"/>
          <w:i w:val="false"/>
          <w:caps w:val="false"/>
          <w:smallCaps w:val="false"/>
          <w:sz w:val="20"/>
        </w:rPr>
        <w:t>”) for aggregate proceeds of approximately US$4.5 million, at a purchase price of US$18.15 per share (the “</w:t>
      </w:r>
      <w:r>
        <w:rPr>
          <w:rFonts w:ascii="Times New Roman;Times;Serif" w:hAnsi="Times New Roman;Times;Serif"/>
          <w:b w:val="false"/>
          <w:i/>
          <w:caps w:val="false"/>
          <w:smallCaps w:val="false"/>
          <w:sz w:val="20"/>
        </w:rPr>
        <w:t>PIPE Investment</w:t>
      </w:r>
      <w:r>
        <w:rPr>
          <w:rFonts w:ascii="Times New Roman;Times;Serif" w:hAnsi="Times New Roman;Times;Serif"/>
          <w:b w:val="false"/>
          <w:i w:val="false"/>
          <w:caps w:val="false"/>
          <w:smallCaps w:val="false"/>
          <w:sz w:val="20"/>
        </w:rPr>
        <w:t>”). The closing of the PIPE Investment is conditioned upon, and will occur concurrently with or immediately following, the Closing under the 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or prior to the closing of the PIPE Investment, the Company will enter into a registration rights agreement with the PIPE Investors (the “</w:t>
      </w:r>
      <w:r>
        <w:rPr>
          <w:rFonts w:ascii="Times New Roman;Times;Serif" w:hAnsi="Times New Roman;Times;Serif"/>
          <w:b w:val="false"/>
          <w:i/>
          <w:caps w:val="false"/>
          <w:smallCaps w:val="false"/>
          <w:sz w:val="20"/>
        </w:rPr>
        <w:t>PIPE Registration Rights Agreement</w:t>
      </w:r>
      <w:r>
        <w:rPr>
          <w:rFonts w:ascii="Times New Roman;Times;Serif" w:hAnsi="Times New Roman;Times;Serif"/>
          <w:b w:val="false"/>
          <w:i w:val="false"/>
          <w:caps w:val="false"/>
          <w:smallCaps w:val="false"/>
          <w:sz w:val="20"/>
        </w:rPr>
        <w:t>”). Pursuant to the PIPE Registration Rights Agreement, the Company will agree to register for resale under the Securities Act, all PIPE Shares held by the PIPE Investors. The Company is required to file an initial registration statement covering the resale of all PIPE Shares within forty-five (45) days following the closing date of the PIPE Investment, provided that all financial statements of the Company then required by the SEC to be included therein are available, and to use reasonable best efforts to cause such registration statement to become effective within the timeframes set forth in the PIPE 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of the Merger (the “</w:t>
      </w:r>
      <w:r>
        <w:rPr>
          <w:rFonts w:ascii="Times New Roman;Times;Serif" w:hAnsi="Times New Roman;Times;Serif"/>
          <w:b w:val="false"/>
          <w:i/>
          <w:caps w:val="false"/>
          <w:smallCaps w:val="false"/>
          <w:sz w:val="20"/>
        </w:rPr>
        <w:t>Effective Time</w:t>
      </w:r>
      <w:r>
        <w:rPr>
          <w:rFonts w:ascii="Times New Roman;Times;Serif" w:hAnsi="Times New Roman;Times;Serif"/>
          <w:b w:val="false"/>
          <w:i w:val="false"/>
          <w:caps w:val="false"/>
          <w:smallCaps w:val="false"/>
          <w:sz w:val="20"/>
        </w:rPr>
        <w:t>”), the Company will enter into a consulting agreement with Mr. Jianwei Li, the Company’s current Chief Executive Officer (the “</w:t>
      </w:r>
      <w:r>
        <w:rPr>
          <w:rFonts w:ascii="Times New Roman;Times;Serif" w:hAnsi="Times New Roman;Times;Serif"/>
          <w:b w:val="false"/>
          <w:i/>
          <w:caps w:val="false"/>
          <w:smallCaps w:val="false"/>
          <w:sz w:val="20"/>
        </w:rPr>
        <w:t>Li Consulting Agreement</w:t>
      </w:r>
      <w:r>
        <w:rPr>
          <w:rFonts w:ascii="Times New Roman;Times;Serif" w:hAnsi="Times New Roman;Times;Serif"/>
          <w:b w:val="false"/>
          <w:i w:val="false"/>
          <w:caps w:val="false"/>
          <w:smallCaps w:val="false"/>
          <w:sz w:val="20"/>
        </w:rPr>
        <w:t>”), on terms to be mutually agreed between the Company and Mr. Li, pursuant to which Mr. Li will resign from all positions as an officer and director of the Company effective at the Effective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Effective Time, the Company will enter into Indemnification Agreements with each of the Company’s post-Closing directors, providing for indemnification, holding harmless, exoneration and advancement of expenses to the fullest extent permitted by the Company’s memorandum and articles of association and the Companies Act (Revised) of the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Closing, the Company will enter into an Escrow Agreement with the Sellers and an escrow agent, pursuant to which the Company will withhold an aggregate of 110,192 Class A Ordinary Shares from the Class A Ordinary Shares otherwise issuable to the Sellers in connection with the Merger and deposit such shares with the escrow agent. The escrowed shares will be held for twelve (12) months following the Closing to satisfy the Sellers’ indemnification obligations under the Merger Agreement, with any shares not subject to pending claims released to the Sellers upon expiry of that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is subject to a number of conditions, including, among others, receipt of Nasdaq’s conditional approval and the required shareholder approvals described in this Notice. The purpose of this Notice is to seek shareholder approval of the matters set out below, which are required in order to complete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our EGM, our shareholders will be asked to consider and vote upon the following proposals in connection with the 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Proposal 1</w:t>
      </w:r>
      <w:r>
        <w:rPr>
          <w:rFonts w:ascii="Times New Roman;Times;Serif" w:hAnsi="Times New Roman;Times;Serif"/>
          <w:b w:val="false"/>
          <w:i w:val="false"/>
          <w:caps w:val="false"/>
          <w:smallCaps w:val="false"/>
          <w:sz w:val="20"/>
        </w:rPr>
        <w:t>: as an ordinary resolution, to approve that, conditional upon and effective at the Effective Time, and after giving effect to the conversion, immediately prior to the Closing (as defined in the Merger Agreement), of all issued and outstanding Class B Ordinary Shares into Class A Ordinary Shares, the 145,601 authorized but unissued Class B Ordinary Shares be re-designated and reclassified as 145,601 Class A Ordinary Shares, and, as a consequence, the authorized share capital of the Company be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US$35,000 divided into 22,024,624 class A ordinary shares of a par value of US$0.0015 each, 642,043 convertible class B ordinary shares of a par value of US$0.0015 each, and 666,666 preference shares of a par value of US$0.0015 each, as set out in the fifth amended and restated memorandum and articles of association of the Company currently in effect (the “Existing M&amp;A”),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US$35,000 divided into 22,170,225 class A ordinary shares of a par value of US$0.0015 each, 496,442 convertible class B ordinary shares of a par value of US$0.0015 each, and 666,666 preference shares of a par value of US$0.0015 each, as set out in the A&amp;R MAA;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Proposal 2</w:t>
      </w:r>
      <w:r>
        <w:rPr>
          <w:rFonts w:ascii="Times New Roman;Times;Serif" w:hAnsi="Times New Roman;Times;Serif"/>
          <w:b w:val="false"/>
          <w:i w:val="false"/>
          <w:caps w:val="false"/>
          <w:smallCaps w:val="false"/>
          <w:sz w:val="20"/>
        </w:rPr>
        <w:t>: as a special resolution, to approve the change of the name of the Company from “SAIHEAT Limited” to “Canopy Wave Holdings Inc.”, conditional upon and effective at the Effective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Proposal 3</w:t>
      </w:r>
      <w:r>
        <w:rPr>
          <w:rFonts w:ascii="Times New Roman;Times;Serif" w:hAnsi="Times New Roman;Times;Serif"/>
          <w:b w:val="false"/>
          <w:i w:val="false"/>
          <w:caps w:val="false"/>
          <w:smallCaps w:val="false"/>
          <w:sz w:val="20"/>
        </w:rPr>
        <w:t>: as an ordinary resolution, to approve the fixing of the number of directors constituting the Company’s board of directors at five (5) immediately following the Effective Time, a majority of whom shall qualify as “independent directors” as defined in Nasdaq rules and be eligible to serve on an audit committee, conditional upon and effective at the Effective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Proposal 4</w:t>
      </w:r>
      <w:r>
        <w:rPr>
          <w:rFonts w:ascii="Times New Roman;Times;Serif" w:hAnsi="Times New Roman;Times;Serif"/>
          <w:b w:val="false"/>
          <w:i w:val="false"/>
          <w:caps w:val="false"/>
          <w:smallCaps w:val="false"/>
          <w:sz w:val="20"/>
        </w:rPr>
        <w:t>: as a special resolution, to approve the adoption of the A&amp;R MAA, in the form furnished as Exhibit 99.3 to the Company’s Report on Form 6-K, in substitution for, and to the exclusion of, the Existing M&amp;A, conditional upon and effective at the Effective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Proposal 5</w:t>
      </w:r>
      <w:r>
        <w:rPr>
          <w:rFonts w:ascii="Times New Roman;Times;Serif" w:hAnsi="Times New Roman;Times;Serif"/>
          <w:b w:val="false"/>
          <w:i w:val="false"/>
          <w:caps w:val="false"/>
          <w:smallCaps w:val="false"/>
          <w:sz w:val="20"/>
        </w:rPr>
        <w:t>: as an ordinary resolution, to approve the issuance and allotment of the Consideration Shares in connection with the Merger, the issuance and allotment of the PIPE Shares pursuant to the PIPE Share Purchase Agreement, and the change of control of the Company resulting from the Merger, in each case for the purposes of Nasdaq Listing Rule 5635(a), (b) and (d) and conditional upon and effective at the Effective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Proposal 6</w:t>
      </w:r>
      <w:r>
        <w:rPr>
          <w:rFonts w:ascii="Times New Roman;Times;Serif" w:hAnsi="Times New Roman;Times;Serif"/>
          <w:b w:val="false"/>
          <w:i w:val="false"/>
          <w:caps w:val="false"/>
          <w:smallCaps w:val="false"/>
          <w:sz w:val="20"/>
        </w:rPr>
        <w:t>: as ordinary resolutions, to approve in all respects:</w:t>
      </w:r>
    </w:p>
    <w:p>
      <w:pPr>
        <w:pStyle w:val="TextBody"/>
        <w:bidi w:val="0"/>
        <w:spacing w:before="0" w:after="0"/>
        <w:ind w:left="0" w:right="0" w:hanging="0"/>
        <w:jc w:val="both"/>
        <w:rPr>
          <w:caps w:val="false"/>
          <w:smallCaps w:val="false"/>
        </w:rPr>
      </w:pPr>
      <w:r>
        <w:rPr>
          <w:caps w:val="false"/>
          <w:smallCaps w:val="false"/>
        </w:rPr>
        <w:t> </w:t>
      </w:r>
    </w:p>
    <w:tbl>
      <w:tblPr>
        <w:tblW w:w="2508" w:type="dxa"/>
        <w:jc w:val="left"/>
        <w:tblInd w:w="0" w:type="dxa"/>
        <w:tblLayout w:type="fixed"/>
        <w:tblCellMar>
          <w:top w:w="0" w:type="dxa"/>
          <w:left w:w="0" w:type="dxa"/>
          <w:bottom w:w="0" w:type="dxa"/>
          <w:right w:w="0" w:type="dxa"/>
        </w:tblCellMar>
      </w:tblPr>
      <w:tblGrid>
        <w:gridCol w:w="38"/>
        <w:gridCol w:w="230"/>
        <w:gridCol w:w="224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2240" w:type="dxa"/>
            <w:tcBorders/>
            <w:vAlign w:val="center"/>
          </w:tcPr>
          <w:p>
            <w:pPr>
              <w:pStyle w:val="TableContents"/>
              <w:bidi w:val="0"/>
              <w:spacing w:before="0" w:after="283"/>
              <w:jc w:val="both"/>
              <w:rPr/>
            </w:pPr>
            <w:r>
              <w:rPr/>
              <w:t>the Merger Agreement,</w:t>
            </w:r>
          </w:p>
        </w:tc>
      </w:tr>
    </w:tbl>
    <w:p>
      <w:pPr>
        <w:pStyle w:val="TextBody"/>
        <w:bidi w:val="0"/>
        <w:spacing w:before="0" w:after="0"/>
        <w:ind w:left="1440" w:right="0" w:hanging="0"/>
        <w:jc w:val="both"/>
        <w:rPr>
          <w:caps w:val="false"/>
          <w:smallCaps w:val="false"/>
        </w:rPr>
      </w:pPr>
      <w:r>
        <w:rPr>
          <w:caps w:val="false"/>
          <w:smallCaps w:val="false"/>
        </w:rPr>
        <w:t> </w:t>
      </w:r>
    </w:p>
    <w:tbl>
      <w:tblPr>
        <w:tblW w:w="3678" w:type="dxa"/>
        <w:jc w:val="left"/>
        <w:tblInd w:w="0" w:type="dxa"/>
        <w:tblLayout w:type="fixed"/>
        <w:tblCellMar>
          <w:top w:w="0" w:type="dxa"/>
          <w:left w:w="0" w:type="dxa"/>
          <w:bottom w:w="0" w:type="dxa"/>
          <w:right w:w="0" w:type="dxa"/>
        </w:tblCellMar>
      </w:tblPr>
      <w:tblGrid>
        <w:gridCol w:w="38"/>
        <w:gridCol w:w="290"/>
        <w:gridCol w:w="335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(ii)</w:t>
            </w:r>
          </w:p>
        </w:tc>
        <w:tc>
          <w:tcPr>
            <w:tcW w:w="3350" w:type="dxa"/>
            <w:tcBorders/>
            <w:vAlign w:val="center"/>
          </w:tcPr>
          <w:p>
            <w:pPr>
              <w:pStyle w:val="TableContents"/>
              <w:bidi w:val="0"/>
              <w:spacing w:before="0" w:after="283"/>
              <w:jc w:val="both"/>
              <w:rPr/>
            </w:pPr>
            <w:r>
              <w:rPr/>
              <w:t xml:space="preserve">the other Transaction Agreements,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4"/>
        <w:gridCol w:w="9836"/>
      </w:tblGrid>
      <w:tr>
        <w:trPr/>
        <w:tc>
          <w:tcPr>
            <w:tcW w:w="7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pPr>
            <w:r>
              <w:rPr/>
              <w:t>(iii)</w:t>
            </w:r>
          </w:p>
        </w:tc>
        <w:tc>
          <w:tcPr>
            <w:tcW w:w="9836" w:type="dxa"/>
            <w:tcBorders/>
            <w:vAlign w:val="center"/>
          </w:tcPr>
          <w:p>
            <w:pPr>
              <w:pStyle w:val="TableContents"/>
              <w:bidi w:val="0"/>
              <w:spacing w:before="0" w:after="283"/>
              <w:jc w:val="both"/>
              <w:rPr/>
            </w:pPr>
            <w:r>
              <w:rPr/>
              <w:t>the completion of the transactions contemplated by the Merger Agreement and such other Transaction Agreements, in accordance with the terms and subject to the conditions set forth therein; and</w:t>
            </w:r>
          </w:p>
        </w:tc>
      </w:tr>
      <w:tr>
        <w:trPr/>
        <w:tc>
          <w:tcPr>
            <w:tcW w:w="75"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c>
          <w:tcPr>
            <w:tcW w:w="983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(iv)</w:t>
            </w:r>
          </w:p>
        </w:tc>
        <w:tc>
          <w:tcPr>
            <w:tcW w:w="9836" w:type="dxa"/>
            <w:tcBorders/>
            <w:vAlign w:val="center"/>
          </w:tcPr>
          <w:p>
            <w:pPr>
              <w:pStyle w:val="TableContents"/>
              <w:bidi w:val="0"/>
              <w:spacing w:before="0" w:after="283"/>
              <w:jc w:val="both"/>
              <w:rPr/>
            </w:pPr>
            <w:r>
              <w:rPr/>
              <w:t>that any director be authorized, for and on behalf of the Company, to do all such acts and things and to execute and deliver, as a deed or under seal if required, all such documents as he considers necessary, desirable or expedient in connection with, or ancillary to, the transactions contemplated by the Merger Agreement and such other Transaction Agreements; and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Proposal 7</w:t>
      </w:r>
      <w:r>
        <w:rPr>
          <w:rFonts w:ascii="Times New Roman;Times;Serif" w:hAnsi="Times New Roman;Times;Serif"/>
          <w:b w:val="false"/>
          <w:i w:val="false"/>
          <w:caps w:val="false"/>
          <w:smallCaps w:val="false"/>
          <w:sz w:val="20"/>
        </w:rPr>
        <w:t>: as an ordinary resolution, to approve the adjournment of the EGM by the chair thereof to a later date or dates, if necessary or appropriate, to permit further solicitation of proxies in the event that there are insufficient votes at the time of the EGM to approve any of the foregoing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management knows of no business that will be presented for consideration at the EGM other than that stated in this Notice of Extraordinary General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the Company has fixed the close of business on August 12, 2026 as the record date for determining the shareholders entitled to receive notice of the EGM or any adjournment or postponement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the Company recommends that the shareholders vote FOR each of Proposals 1 through 7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special resolution of the Company requires the approval of at least two-thirds of the votes cast by such members as, being entitled to do so, vote in person or by proxy at a general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ordinary resolution of the Company requires the approval of a simple majority of the votes cast by such members as, being entitled to do so, vote in person or by proxy at a general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approvals of our shareholders described above, the Merger Agreement requires that the holder(s) of not less than two-thirds of the voting power of the Class B Ordinary Shares provide their written consent (the “</w:t>
      </w:r>
      <w:r>
        <w:rPr>
          <w:rFonts w:ascii="Times New Roman;Times;Serif" w:hAnsi="Times New Roman;Times;Serif"/>
          <w:b w:val="false"/>
          <w:i/>
          <w:caps w:val="false"/>
          <w:smallCaps w:val="false"/>
          <w:sz w:val="20"/>
        </w:rPr>
        <w:t>Class B Consent</w:t>
      </w:r>
      <w:r>
        <w:rPr>
          <w:rFonts w:ascii="Times New Roman;Times;Serif" w:hAnsi="Times New Roman;Times;Serif"/>
          <w:b w:val="false"/>
          <w:i w:val="false"/>
          <w:caps w:val="false"/>
          <w:smallCaps w:val="false"/>
          <w:sz w:val="20"/>
        </w:rPr>
        <w:t>”), in accordance with Articles 10.1 and 17.3 of the Existing M&amp;A. The Class B Consent is being obtained separately from, and is not part of, the voting at the EGM, and is expected to be obtained from Energy Science prior to the EGM.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shareholder entitled to attend and vote at the EGM is entitled to appoint a proxy to attend and vote in their place. A proxy need not be a shareholder of the Company. A form of proxy is enclosed.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are requested to complete, date, sign and return the enclosed proxy form to reach the Company as promptly as possible but no later than 48 hours before the time for holding the EGM or adjourned meeting at which the proxy is to be used. The giving of such proxy will not affect your right to vote in person should you decide to attend the EGM or adjourned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or their proxies are responsible for their own expenses for attending the EGM, including, but not limited to, transportation and accommodation expenses.</w:t>
      </w:r>
    </w:p>
    <w:p>
      <w:pPr>
        <w:pStyle w:val="TextBody"/>
        <w:bidi w:val="0"/>
        <w:spacing w:before="0" w:after="0"/>
        <w:ind w:left="0" w:right="0" w:hanging="0"/>
        <w:jc w:val="both"/>
        <w:rPr>
          <w:caps w:val="false"/>
          <w:smallCaps w:val="false"/>
        </w:rPr>
      </w:pPr>
      <w:r>
        <w:rPr>
          <w:caps w:val="false"/>
          <w:smallCaps w:val="false"/>
        </w:rPr>
        <w:t> </w:t>
      </w:r>
    </w:p>
    <w:tbl>
      <w:tblPr>
        <w:tblW w:w="3670" w:type="dxa"/>
        <w:jc w:val="left"/>
        <w:tblInd w:w="0" w:type="dxa"/>
        <w:tblLayout w:type="fixed"/>
        <w:tblCellMar>
          <w:top w:w="0" w:type="dxa"/>
          <w:left w:w="0" w:type="dxa"/>
          <w:bottom w:w="0" w:type="dxa"/>
          <w:right w:w="0" w:type="dxa"/>
        </w:tblCellMar>
      </w:tblPr>
      <w:tblGrid>
        <w:gridCol w:w="75"/>
        <w:gridCol w:w="710"/>
        <w:gridCol w:w="2885"/>
      </w:tblGrid>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By:</w:t>
            </w:r>
          </w:p>
        </w:tc>
        <w:tc>
          <w:tcPr>
            <w:tcW w:w="2885" w:type="dxa"/>
            <w:tcBorders>
              <w:bottom w:val="single" w:sz="12" w:space="0" w:color="000000"/>
            </w:tcBorders>
            <w:tcMar>
              <w:bottom w:w="28" w:type="dxa"/>
            </w:tcMar>
            <w:vAlign w:val="center"/>
          </w:tcPr>
          <w:p>
            <w:pPr>
              <w:pStyle w:val="TableContents"/>
              <w:bidi w:val="0"/>
              <w:spacing w:before="0" w:after="283"/>
              <w:jc w:val="left"/>
              <w:rPr/>
            </w:pPr>
            <w:r>
              <w:rPr/>
              <w:t>/s/ Jianwei Li</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 </w:t>
            </w:r>
          </w:p>
        </w:tc>
        <w:tc>
          <w:tcPr>
            <w:tcW w:w="2885" w:type="dxa"/>
            <w:tcBorders/>
            <w:vAlign w:val="center"/>
          </w:tcPr>
          <w:p>
            <w:pPr>
              <w:pStyle w:val="TableContents"/>
              <w:bidi w:val="0"/>
              <w:spacing w:before="0" w:after="283"/>
              <w:jc w:val="left"/>
              <w:rPr/>
            </w:pPr>
            <w:r>
              <w:rPr/>
              <w:t>Jianwei Li</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2885" w:type="dxa"/>
            <w:tcBorders/>
            <w:vAlign w:val="center"/>
          </w:tcPr>
          <w:p>
            <w:pPr>
              <w:pStyle w:val="TableContents"/>
              <w:bidi w:val="0"/>
              <w:spacing w:before="0" w:after="283"/>
              <w:jc w:val="left"/>
              <w:rPr/>
            </w:pPr>
            <w:r>
              <w:rPr/>
              <w:t>Chairman of the Board / CEO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right"/>
        <w:rPr>
          <w:b/>
        </w:rPr>
      </w:pPr>
      <w:bookmarkStart w:id="4" w:name="ea030168601ex99-2.htm"/>
      <w:bookmarkStart w:id="5" w:name="ksea030168601ex992"/>
      <w:bookmarkEnd w:id="4"/>
      <w:bookmarkEnd w:id="5"/>
      <w:r>
        <w:rPr>
          <w:b/>
        </w:rPr>
        <w:t>Exhibit 99.2</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SAIHEAT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(Incorporated in the Cayman Islands with limited liability)</w:t>
        <w:br/>
      </w:r>
      <w:r>
        <w:rPr>
          <w:rFonts w:ascii="Times New Roman;Times;Serif" w:hAnsi="Times New Roman;Times;Serif"/>
          <w:b w:val="false"/>
          <w:i w:val="false"/>
          <w:caps w:val="false"/>
          <w:smallCaps w:val="false"/>
          <w:sz w:val="20"/>
        </w:rPr>
        <w:t>(NASDAQ: SAIH)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FORM OF PROXY CARD FOR EXTRAORDINARY GENERAL MEETING</w:t>
        <w:br/>
      </w:r>
      <w:r>
        <w:rPr>
          <w:rFonts w:ascii="Times New Roman;Times;Serif" w:hAnsi="Times New Roman;Times;Serif"/>
          <w:b w:val="false"/>
          <w:i w:val="false"/>
          <w:caps w:val="false"/>
          <w:smallCaps w:val="false"/>
          <w:sz w:val="20"/>
        </w:rPr>
        <w:t>to Be Held on August 26, 2026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any adjourned or postponed meeting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form of proxy card (the “</w:t>
      </w:r>
      <w:r>
        <w:rPr>
          <w:rFonts w:ascii="Times New Roman;Times;Serif" w:hAnsi="Times New Roman;Times;Serif"/>
          <w:b w:val="false"/>
          <w:i/>
          <w:caps w:val="false"/>
          <w:smallCaps w:val="false"/>
          <w:sz w:val="20"/>
        </w:rPr>
        <w:t>Form of Proxy Card</w:t>
      </w:r>
      <w:r>
        <w:rPr>
          <w:rFonts w:ascii="Times New Roman;Times;Serif" w:hAnsi="Times New Roman;Times;Serif"/>
          <w:b w:val="false"/>
          <w:i w:val="false"/>
          <w:caps w:val="false"/>
          <w:smallCaps w:val="false"/>
          <w:sz w:val="20"/>
        </w:rPr>
        <w:t>”) is furnished in connection with the solicitation by the Board of Directors of SAIHEAT Limited, a Cayman Islands exempted company (the “</w:t>
      </w:r>
      <w:r>
        <w:rPr>
          <w:rFonts w:ascii="Times New Roman;Times;Serif" w:hAnsi="Times New Roman;Times;Serif"/>
          <w:b w:val="false"/>
          <w:i/>
          <w:caps w:val="false"/>
          <w:smallCaps w:val="false"/>
          <w:sz w:val="20"/>
        </w:rPr>
        <w:t>Company</w:t>
      </w:r>
      <w:r>
        <w:rPr>
          <w:rFonts w:ascii="Times New Roman;Times;Serif" w:hAnsi="Times New Roman;Times;Serif"/>
          <w:b w:val="false"/>
          <w:i w:val="false"/>
          <w:caps w:val="false"/>
          <w:smallCaps w:val="false"/>
          <w:sz w:val="20"/>
        </w:rPr>
        <w:t>”), of proxies from the holders of the issued and outstanding class A ordinary shares of a par value of US$0.0015 each (the “</w:t>
      </w:r>
      <w:r>
        <w:rPr>
          <w:rFonts w:ascii="Times New Roman;Times;Serif" w:hAnsi="Times New Roman;Times;Serif"/>
          <w:b w:val="false"/>
          <w:i/>
          <w:caps w:val="false"/>
          <w:smallCaps w:val="false"/>
          <w:sz w:val="20"/>
        </w:rPr>
        <w:t>Class A Ordinary Shares</w:t>
      </w:r>
      <w:r>
        <w:rPr>
          <w:rFonts w:ascii="Times New Roman;Times;Serif" w:hAnsi="Times New Roman;Times;Serif"/>
          <w:b w:val="false"/>
          <w:i w:val="false"/>
          <w:caps w:val="false"/>
          <w:smallCaps w:val="false"/>
          <w:sz w:val="20"/>
        </w:rPr>
        <w:t>”) and convertible class B ordinary shares of a par value of US$0.0015 each (the “</w:t>
      </w:r>
      <w:r>
        <w:rPr>
          <w:rFonts w:ascii="Times New Roman;Times;Serif" w:hAnsi="Times New Roman;Times;Serif"/>
          <w:b w:val="false"/>
          <w:i/>
          <w:caps w:val="false"/>
          <w:smallCaps w:val="false"/>
          <w:sz w:val="20"/>
        </w:rPr>
        <w:t>Class B Ordinary Shares</w:t>
      </w:r>
      <w:r>
        <w:rPr>
          <w:rFonts w:ascii="Times New Roman;Times;Serif" w:hAnsi="Times New Roman;Times;Serif"/>
          <w:b w:val="false"/>
          <w:i w:val="false"/>
          <w:caps w:val="false"/>
          <w:smallCaps w:val="false"/>
          <w:sz w:val="20"/>
        </w:rPr>
        <w:t>”, together with the Class A Ordinary Shares, the “</w:t>
      </w:r>
      <w:r>
        <w:rPr>
          <w:rFonts w:ascii="Times New Roman;Times;Serif" w:hAnsi="Times New Roman;Times;Serif"/>
          <w:b w:val="false"/>
          <w:i/>
          <w:caps w:val="false"/>
          <w:smallCaps w:val="false"/>
          <w:sz w:val="20"/>
        </w:rPr>
        <w:t>Ordinary Shares</w:t>
      </w:r>
      <w:r>
        <w:rPr>
          <w:rFonts w:ascii="Times New Roman;Times;Serif" w:hAnsi="Times New Roman;Times;Serif"/>
          <w:b w:val="false"/>
          <w:i w:val="false"/>
          <w:caps w:val="false"/>
          <w:smallCaps w:val="false"/>
          <w:sz w:val="20"/>
        </w:rPr>
        <w:t>”) to be exercised at an Extraordinary General Meeting of the Company (the “</w:t>
      </w:r>
      <w:r>
        <w:rPr>
          <w:rFonts w:ascii="Times New Roman;Times;Serif" w:hAnsi="Times New Roman;Times;Serif"/>
          <w:b w:val="false"/>
          <w:i/>
          <w:caps w:val="false"/>
          <w:smallCaps w:val="false"/>
          <w:sz w:val="20"/>
        </w:rPr>
        <w:t>EGM</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Extraordinary General Meeting</w:t>
      </w:r>
      <w:r>
        <w:rPr>
          <w:rFonts w:ascii="Times New Roman;Times;Serif" w:hAnsi="Times New Roman;Times;Serif"/>
          <w:b w:val="false"/>
          <w:i w:val="false"/>
          <w:caps w:val="false"/>
          <w:smallCaps w:val="false"/>
          <w:sz w:val="20"/>
        </w:rPr>
        <w:t xml:space="preserve">”) to be held virtually </w:t>
      </w:r>
      <w:r>
        <w:rPr>
          <w:rFonts w:ascii="Times New Roman;Times;Serif" w:hAnsi="Times New Roman;Times;Serif"/>
          <w:b w:val="false"/>
          <w:i w:val="false"/>
          <w:caps w:val="false"/>
          <w:smallCaps w:val="false"/>
          <w:sz w:val="20"/>
          <w:shd w:fill="FFFFFF" w:val="clear"/>
        </w:rPr>
        <w:t>at http://www.virtualshareholdermeeting.com/SAIH2026SM</w:t>
      </w:r>
      <w:r>
        <w:rPr>
          <w:rFonts w:ascii="Times New Roman;Times;Serif" w:hAnsi="Times New Roman;Times;Serif"/>
          <w:b w:val="false"/>
          <w:i w:val="false"/>
          <w:caps w:val="false"/>
          <w:smallCaps w:val="false"/>
          <w:sz w:val="20"/>
        </w:rPr>
        <w:t xml:space="preserve"> on August 26, 2026 at 9:00 a.m. Eastern Standard Time, and at any adjourned or postponed meeting thereof, for the purposes set forth in the accompanying Notice of Extraordinary General Meeting (the “</w:t>
      </w:r>
      <w:r>
        <w:rPr>
          <w:rFonts w:ascii="Times New Roman;Times;Serif" w:hAnsi="Times New Roman;Times;Serif"/>
          <w:b w:val="false"/>
          <w:i/>
          <w:caps w:val="false"/>
          <w:smallCaps w:val="false"/>
          <w:sz w:val="20"/>
        </w:rPr>
        <w:t>EGM Notice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the holders of record of the Ordinary Shares at the close of business on August 12, 2026 (the “</w:t>
      </w:r>
      <w:r>
        <w:rPr>
          <w:rFonts w:ascii="Times New Roman;Times;Serif" w:hAnsi="Times New Roman;Times;Serif"/>
          <w:b w:val="false"/>
          <w:i/>
          <w:caps w:val="false"/>
          <w:smallCaps w:val="false"/>
          <w:sz w:val="20"/>
        </w:rPr>
        <w:t>Record Date</w:t>
      </w:r>
      <w:r>
        <w:rPr>
          <w:rFonts w:ascii="Times New Roman;Times;Serif" w:hAnsi="Times New Roman;Times;Serif"/>
          <w:b w:val="false"/>
          <w:i w:val="false"/>
          <w:caps w:val="false"/>
          <w:smallCaps w:val="false"/>
          <w:sz w:val="20"/>
        </w:rPr>
        <w:t xml:space="preserve">”) are entitled to notice of and to vote at the EGM. </w:t>
      </w:r>
      <w:r>
        <w:rPr>
          <w:rFonts w:ascii="Times New Roman;Times;Serif" w:hAnsi="Times New Roman;Times;Serif"/>
          <w:b/>
          <w:i w:val="false"/>
          <w:caps w:val="false"/>
          <w:smallCaps w:val="false"/>
          <w:sz w:val="20"/>
        </w:rPr>
        <w:t xml:space="preserve">In respect of the matters requiring shareholders’ vote at the EGM, each Class A Ordinary Share is entitled to one vote, and each Class B Ordinary Share is entitled to 10 votes. </w:t>
      </w:r>
      <w:r>
        <w:rPr>
          <w:rFonts w:ascii="Times New Roman;Times;Serif" w:hAnsi="Times New Roman;Times;Serif"/>
          <w:b w:val="false"/>
          <w:i w:val="false"/>
          <w:caps w:val="false"/>
          <w:smallCaps w:val="false"/>
          <w:sz w:val="20"/>
        </w:rPr>
        <w:t>As of the close of business on the Record Date, we expect that 1,195,249 Class A Ordinary Shares and 642,043 Class B Ordinary Shares will be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shareholders entitled to vote on resolutions of shareholders to be considered at the meeting present in person, through their authorized representative or by proxy shall be a quorum for all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 represented by all properly executed proxies returned to the Company will be voted at the EGM as indicated or, if no instruction is given, the holder of the proxy will vote the Ordinary Shares in their discretion, unless a reference to the holder of the proxy having such discretion has been deleted and initialed on this Form of Proxy Card. Where the chair of the EGM acts as proxy and is entitled to exercise their discretion, they have indicated they will vote the Ordinary Shares FOR the resolutions. As to any other business that may properly come before the EGM, all properly executed proxies will be voted by the persons named therein in accordance with their discretion. The Company does not presently know of any other business which may come before the EGM. However, if any other matter properly comes before the EGM, or any adjourned or postponed meeting thereof, which may properly be acted upon, unless otherwise indicated the proxies solicited hereby will be voted on such matter in accordance with the discretion of the proxy holders named therein. Any person giving a proxy has the right to revoke it at any time before it is exercised (i) by returning the marked, signed and dated proxy card (together with any power of attorney or other authority under which it is signed or a notarial certified copy of that power or authority) in the postage-paid envelope provided, or returning it to Vote Processing, c/o Broadridge, 51 Mercedes Way, Edgewood, NY 11717 or (ii) by voting via internet during the EGM or before the EGM using the control number and instructions provided on the proxy card up until 11:59 p.m. Eastern Time on August 25, 2026 (the “</w:t>
      </w:r>
      <w:r>
        <w:rPr>
          <w:rFonts w:ascii="Times New Roman;Times;Serif" w:hAnsi="Times New Roman;Times;Serif"/>
          <w:b w:val="false"/>
          <w:i/>
          <w:caps w:val="false"/>
          <w:smallCaps w:val="false"/>
          <w:sz w:val="20"/>
        </w:rPr>
        <w:t>Cut-off</w:t>
      </w:r>
      <w:r>
        <w:rPr>
          <w:rFonts w:ascii="Times New Roman;Times;Serif" w:hAnsi="Times New Roman;Times;Serif"/>
          <w:b w:val="false"/>
          <w:i w:val="false"/>
          <w:caps w:val="false"/>
          <w:smallCaps w:val="false"/>
          <w:sz w:val="20"/>
        </w:rPr>
        <w:t>”), or (iii) by voting via phone before the Cut-off following instructions provided on the proxy card.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 be valid, this Form of Proxy Card must be completed, signed and returned (together with any power of attorney or other authority under which it is signed or a notarial certified copy of that power or authority) in the postage-paid envelope we have provided or returned to Vote Processing, c/o Broadridge, 51 Mercedes Way, Edgewood, NY 11717 as soon as possible so that it is received before the Cut-off for holding the EGM</w:t>
      </w:r>
      <w:r>
        <w:rPr>
          <w:rFonts w:ascii="Times New Roman;Times;Serif" w:hAnsi="Times New Roman;Times;Serif"/>
          <w:b w:val="false"/>
          <w:i w:val="false"/>
          <w:caps w:val="false"/>
          <w:smallCaps w:val="false"/>
          <w:sz w:val="20"/>
        </w:rPr>
        <w:t>, or to follow the internet and phone voting instructions as instructed elsewhere in this proxy card.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that are not defined herein shall have the meanings given to them in the EGM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SAIHEAT Limited</w:t>
        <w:br/>
      </w:r>
      <w:r>
        <w:rPr>
          <w:rFonts w:ascii="Times New Roman;Times;Serif" w:hAnsi="Times New Roman;Times;Serif"/>
          <w:b w:val="false"/>
          <w:i/>
          <w:caps w:val="false"/>
          <w:smallCaps w:val="false"/>
          <w:sz w:val="20"/>
        </w:rPr>
        <w:t>(Incorporated in the Cayman Islands with limited liability)</w:t>
        <w:br/>
      </w:r>
      <w:r>
        <w:rPr>
          <w:rFonts w:ascii="Times New Roman;Times;Serif" w:hAnsi="Times New Roman;Times;Serif"/>
          <w:b w:val="false"/>
          <w:i w:val="false"/>
          <w:caps w:val="false"/>
          <w:smallCaps w:val="false"/>
          <w:sz w:val="20"/>
        </w:rPr>
        <w:t>(NASDAQ: SAIH)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FORM OF PROXY CARD FOR EXTRAORDINARY GENERAL MEETING</w:t>
        <w:br/>
      </w:r>
      <w:r>
        <w:rPr>
          <w:rFonts w:ascii="Times New Roman;Times;Serif" w:hAnsi="Times New Roman;Times;Serif"/>
          <w:b w:val="false"/>
          <w:i w:val="false"/>
          <w:caps w:val="false"/>
          <w:smallCaps w:val="false"/>
          <w:sz w:val="20"/>
        </w:rPr>
        <w:t>to Be Held on August 26, 2026</w:t>
        <w:br/>
        <w:t>(or any adjourned or postponed meeting thereof)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I/We ___________________________________[</w:t>
      </w:r>
      <w:r>
        <w:rPr>
          <w:rFonts w:ascii="Times New Roman;Times;Serif" w:hAnsi="Times New Roman;Times;Serif"/>
          <w:b w:val="false"/>
          <w:i/>
          <w:caps w:val="false"/>
          <w:smallCaps w:val="false"/>
          <w:sz w:val="20"/>
        </w:rPr>
        <w:t>insert name</w:t>
      </w:r>
      <w:r>
        <w:rPr>
          <w:rFonts w:ascii="Times New Roman;Times;Serif" w:hAnsi="Times New Roman;Times;Serif"/>
          <w:b w:val="false"/>
          <w:i w:val="false"/>
          <w:caps w:val="false"/>
          <w:smallCaps w:val="false"/>
          <w:sz w:val="20"/>
        </w:rPr>
        <w:t>] ___________________________________of [</w:t>
      </w:r>
      <w:r>
        <w:rPr>
          <w:rFonts w:ascii="Times New Roman;Times;Serif" w:hAnsi="Times New Roman;Times;Serif"/>
          <w:b w:val="false"/>
          <w:i/>
          <w:caps w:val="false"/>
          <w:smallCaps w:val="false"/>
          <w:sz w:val="20"/>
        </w:rPr>
        <w:t>insert address</w:t>
      </w:r>
      <w:r>
        <w:rPr>
          <w:rFonts w:ascii="Times New Roman;Times;Serif" w:hAnsi="Times New Roman;Times;Serif"/>
          <w:b w:val="false"/>
          <w:i w:val="false"/>
          <w:caps w:val="false"/>
          <w:smallCaps w:val="false"/>
          <w:sz w:val="20"/>
        </w:rPr>
        <w:t>] being the registered holder of ________________________class _____ ordinary shares</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par value $0.0015 per share, of SAIHEAT Limited (the “</w:t>
      </w:r>
      <w:r>
        <w:rPr>
          <w:rFonts w:ascii="Times New Roman;Times;Serif" w:hAnsi="Times New Roman;Times;Serif"/>
          <w:b w:val="false"/>
          <w:i/>
          <w:caps w:val="false"/>
          <w:smallCaps w:val="false"/>
          <w:sz w:val="20"/>
        </w:rPr>
        <w:t>Company</w:t>
      </w:r>
      <w:r>
        <w:rPr>
          <w:rFonts w:ascii="Times New Roman;Times;Serif" w:hAnsi="Times New Roman;Times;Serif"/>
          <w:b w:val="false"/>
          <w:i w:val="false"/>
          <w:caps w:val="false"/>
          <w:smallCaps w:val="false"/>
          <w:sz w:val="20"/>
        </w:rPr>
        <w:t>”) hereby appoint the Chair of the Extraordinary General Meeting (the “</w:t>
      </w:r>
      <w:r>
        <w:rPr>
          <w:rFonts w:ascii="Times New Roman;Times;Serif" w:hAnsi="Times New Roman;Times;Serif"/>
          <w:b w:val="false"/>
          <w:i/>
          <w:caps w:val="false"/>
          <w:smallCaps w:val="false"/>
          <w:sz w:val="20"/>
        </w:rPr>
        <w:t>Chair</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7"/>
          <w:sz w:val="16"/>
          <w:sz w:val="20"/>
        </w:rPr>
        <w:t xml:space="preserve">2 </w:t>
      </w:r>
      <w:r>
        <w:rPr>
          <w:rFonts w:ascii="Times New Roman;Times;Serif" w:hAnsi="Times New Roman;Times;Serif"/>
          <w:b w:val="false"/>
          <w:i w:val="false"/>
          <w:caps w:val="false"/>
          <w:smallCaps w:val="false"/>
          <w:sz w:val="20"/>
        </w:rPr>
        <w:t>or _____________________________ of _____________________________</w:t>
      </w: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as my/our proxy to attend and to vote for me/us and on my/our behalf at the Extraordinary General Meeting (or at any adjourned or postponed meeting thereof) of the Company to be held on August 26, 2026, at 9:00 a.m. (Eastern Standard Time) </w:t>
      </w:r>
      <w:r>
        <w:rPr>
          <w:rFonts w:ascii="Times New Roman;Times;Serif" w:hAnsi="Times New Roman;Times;Serif"/>
          <w:b w:val="false"/>
          <w:i w:val="false"/>
          <w:caps w:val="false"/>
          <w:smallCaps w:val="false"/>
          <w:sz w:val="20"/>
          <w:shd w:fill="FFFFFF" w:val="clear"/>
        </w:rPr>
        <w:t>virtually at http://www.virtualshareholdermeeting.com/SAIH2026SM</w:t>
      </w:r>
      <w:r>
        <w:rPr>
          <w:rFonts w:ascii="Times New Roman;Times;Serif" w:hAnsi="Times New Roman;Times;Serif"/>
          <w:b w:val="false"/>
          <w:i w:val="false"/>
          <w:caps w:val="false"/>
          <w:smallCaps w:val="false"/>
          <w:sz w:val="20"/>
        </w:rPr>
        <w:t xml:space="preserve"> and in the event of a poll, to vote for me/us and on my/our behalf on the resolutions in respect of the matters specified in the EGM Notice as indicated below, or if no such indication is given, in their discretion</w:t>
      </w: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63"/>
        <w:gridCol w:w="60"/>
        <w:gridCol w:w="1904"/>
        <w:gridCol w:w="3388"/>
        <w:gridCol w:w="3390"/>
      </w:tblGrid>
      <w:tr>
        <w:trPr/>
        <w:tc>
          <w:tcPr>
            <w:tcW w:w="1463" w:type="dxa"/>
            <w:tcBorders/>
            <w:vAlign w:val="center"/>
          </w:tcPr>
          <w:p>
            <w:pPr>
              <w:pStyle w:val="TableContents"/>
              <w:bidi w:val="0"/>
              <w:spacing w:before="0" w:after="283"/>
              <w:ind w:left="0" w:right="0" w:hanging="180"/>
              <w:jc w:val="left"/>
              <w:rPr/>
            </w:pPr>
            <w:r>
              <w:rPr/>
              <w:t>Proposal 1: as an ordinary resolution that:</w:t>
            </w:r>
          </w:p>
        </w:tc>
        <w:tc>
          <w:tcPr>
            <w:tcW w:w="60" w:type="dxa"/>
            <w:tcBorders/>
            <w:vAlign w:val="center"/>
          </w:tcPr>
          <w:p>
            <w:pPr>
              <w:pStyle w:val="TableContents"/>
              <w:bidi w:val="0"/>
              <w:spacing w:before="0" w:after="283"/>
              <w:jc w:val="left"/>
              <w:rPr/>
            </w:pPr>
            <w:r>
              <w:rPr/>
              <w:t> </w:t>
            </w:r>
          </w:p>
        </w:tc>
        <w:tc>
          <w:tcPr>
            <w:tcW w:w="8682"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conditional upon and effective at the Effective Time, and after giving effect to the conversion, immediately prior to the Closing, of all issued and outstanding Class B Ordinary Shares into Class A Ordinary Shares, the 145,601 authorized but unissued Class B Ordinary Shares be re-designated and reclassified as 145,601 Class A Ordinary Shares, and, as a consequence, the authorized share capital of the Company be amended: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US$35,000 divided into 22,024,624 class A ordinary shares of a par value of US$0.0015 each, 642,043 convertible class B ordinary shares of a par value of US$0.0015 each, and 666,666 preference shares of a par value of US$0.0015 each, as set out in the Existing M&amp;A,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US$35,000 divided into 22,170,225 class A ordinary shares of a par value of US$0.0015 each, 496,442 convertible class B ordinary shares of a par value of US$0.0015 each, and 666,666 preference shares of a par value of US$0.0015 each, as set out in the A&amp;R MAA.</w:t>
            </w:r>
          </w:p>
        </w:tc>
      </w:tr>
      <w:tr>
        <w:trPr/>
        <w:tc>
          <w:tcPr>
            <w:tcW w:w="146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904" w:type="dxa"/>
            <w:tcBorders/>
            <w:vAlign w:val="center"/>
          </w:tcPr>
          <w:p>
            <w:pPr>
              <w:pStyle w:val="TableContents"/>
              <w:bidi w:val="0"/>
              <w:spacing w:before="0" w:after="283"/>
              <w:jc w:val="both"/>
              <w:rPr/>
            </w:pPr>
            <w:r>
              <w:rPr/>
              <w:t> </w:t>
            </w:r>
          </w:p>
        </w:tc>
        <w:tc>
          <w:tcPr>
            <w:tcW w:w="3388" w:type="dxa"/>
            <w:tcBorders/>
            <w:vAlign w:val="center"/>
          </w:tcPr>
          <w:p>
            <w:pPr>
              <w:pStyle w:val="TableContents"/>
              <w:bidi w:val="0"/>
              <w:spacing w:before="0" w:after="283"/>
              <w:jc w:val="both"/>
              <w:rPr/>
            </w:pPr>
            <w:r>
              <w:rPr/>
              <w:t> </w:t>
            </w:r>
          </w:p>
        </w:tc>
        <w:tc>
          <w:tcPr>
            <w:tcW w:w="3390" w:type="dxa"/>
            <w:tcBorders/>
            <w:vAlign w:val="center"/>
          </w:tcPr>
          <w:p>
            <w:pPr>
              <w:pStyle w:val="TableContents"/>
              <w:bidi w:val="0"/>
              <w:spacing w:before="0" w:after="283"/>
              <w:ind w:left="0" w:right="0" w:hanging="180"/>
              <w:jc w:val="both"/>
              <w:rPr/>
            </w:pPr>
            <w:r>
              <w:rPr/>
              <w:t> </w:t>
            </w:r>
          </w:p>
        </w:tc>
      </w:tr>
      <w:tr>
        <w:trPr/>
        <w:tc>
          <w:tcPr>
            <w:tcW w:w="146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904" w:type="dxa"/>
            <w:tcBorders/>
            <w:vAlign w:val="center"/>
          </w:tcPr>
          <w:p>
            <w:pPr>
              <w:pStyle w:val="TableContents"/>
              <w:bidi w:val="0"/>
              <w:spacing w:before="0" w:after="283"/>
              <w:jc w:val="both"/>
              <w:rPr/>
            </w:pPr>
            <w:r>
              <w:rPr/>
              <w:t xml:space="preserve">☐ </w:t>
            </w:r>
            <w:r>
              <w:rPr/>
              <w:t>FOR</w:t>
            </w:r>
          </w:p>
        </w:tc>
        <w:tc>
          <w:tcPr>
            <w:tcW w:w="3388" w:type="dxa"/>
            <w:tcBorders/>
            <w:vAlign w:val="center"/>
          </w:tcPr>
          <w:p>
            <w:pPr>
              <w:pStyle w:val="TableContents"/>
              <w:bidi w:val="0"/>
              <w:spacing w:before="0" w:after="283"/>
              <w:jc w:val="both"/>
              <w:rPr/>
            </w:pPr>
            <w:r>
              <w:rPr/>
              <w:t xml:space="preserve">☐ </w:t>
            </w:r>
            <w:r>
              <w:rPr/>
              <w:t>AGAINST</w:t>
            </w:r>
          </w:p>
        </w:tc>
        <w:tc>
          <w:tcPr>
            <w:tcW w:w="3390" w:type="dxa"/>
            <w:tcBorders/>
            <w:vAlign w:val="center"/>
          </w:tcPr>
          <w:p>
            <w:pPr>
              <w:pStyle w:val="TableContents"/>
              <w:bidi w:val="0"/>
              <w:spacing w:before="0" w:after="283"/>
              <w:ind w:left="0" w:right="0" w:hanging="180"/>
              <w:jc w:val="both"/>
              <w:rPr/>
            </w:pPr>
            <w:r>
              <w:rPr/>
              <w:t xml:space="preserve">☐ </w:t>
            </w:r>
            <w:r>
              <w:rPr/>
              <w:t>ABSTAIN</w:t>
            </w:r>
          </w:p>
        </w:tc>
      </w:tr>
      <w:tr>
        <w:trPr/>
        <w:tc>
          <w:tcPr>
            <w:tcW w:w="146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904" w:type="dxa"/>
            <w:tcBorders/>
            <w:vAlign w:val="center"/>
          </w:tcPr>
          <w:p>
            <w:pPr>
              <w:pStyle w:val="TableContents"/>
              <w:bidi w:val="0"/>
              <w:spacing w:before="0" w:after="283"/>
              <w:jc w:val="both"/>
              <w:rPr/>
            </w:pPr>
            <w:r>
              <w:rPr/>
              <w:t> </w:t>
            </w:r>
          </w:p>
        </w:tc>
        <w:tc>
          <w:tcPr>
            <w:tcW w:w="3388" w:type="dxa"/>
            <w:tcBorders/>
            <w:vAlign w:val="center"/>
          </w:tcPr>
          <w:p>
            <w:pPr>
              <w:pStyle w:val="TableContents"/>
              <w:bidi w:val="0"/>
              <w:spacing w:before="0" w:after="283"/>
              <w:jc w:val="both"/>
              <w:rPr/>
            </w:pPr>
            <w:r>
              <w:rPr/>
              <w:t> </w:t>
            </w:r>
          </w:p>
        </w:tc>
        <w:tc>
          <w:tcPr>
            <w:tcW w:w="3390" w:type="dxa"/>
            <w:tcBorders/>
            <w:vAlign w:val="center"/>
          </w:tcPr>
          <w:p>
            <w:pPr>
              <w:pStyle w:val="TableContents"/>
              <w:bidi w:val="0"/>
              <w:spacing w:before="0" w:after="283"/>
              <w:ind w:left="0" w:right="0" w:hanging="180"/>
              <w:jc w:val="both"/>
              <w:rPr/>
            </w:pPr>
            <w:r>
              <w:rPr/>
              <w:t> </w:t>
            </w:r>
          </w:p>
        </w:tc>
      </w:tr>
      <w:tr>
        <w:trPr/>
        <w:tc>
          <w:tcPr>
            <w:tcW w:w="1463" w:type="dxa"/>
            <w:tcBorders/>
            <w:vAlign w:val="center"/>
          </w:tcPr>
          <w:p>
            <w:pPr>
              <w:pStyle w:val="TableContents"/>
              <w:bidi w:val="0"/>
              <w:spacing w:before="0" w:after="283"/>
              <w:jc w:val="left"/>
              <w:rPr/>
            </w:pPr>
            <w:r>
              <w:rPr/>
              <w:t>Proposal 2: as a special resolution that:</w:t>
            </w:r>
          </w:p>
        </w:tc>
        <w:tc>
          <w:tcPr>
            <w:tcW w:w="60" w:type="dxa"/>
            <w:tcBorders/>
            <w:vAlign w:val="center"/>
          </w:tcPr>
          <w:p>
            <w:pPr>
              <w:pStyle w:val="TableContents"/>
              <w:bidi w:val="0"/>
              <w:spacing w:before="0" w:after="283"/>
              <w:jc w:val="left"/>
              <w:rPr/>
            </w:pPr>
            <w:r>
              <w:rPr/>
              <w:t> </w:t>
            </w:r>
          </w:p>
        </w:tc>
        <w:tc>
          <w:tcPr>
            <w:tcW w:w="8682" w:type="dxa"/>
            <w:gridSpan w:val="3"/>
            <w:tcBorders/>
            <w:vAlign w:val="center"/>
          </w:tcPr>
          <w:p>
            <w:pPr>
              <w:pStyle w:val="TableContents"/>
              <w:bidi w:val="0"/>
              <w:spacing w:before="0" w:after="283"/>
              <w:ind w:left="0" w:right="0" w:hanging="180"/>
              <w:jc w:val="both"/>
              <w:rPr/>
            </w:pPr>
            <w:r>
              <w:rPr/>
              <w:t>the change of the name of the Company from “SAIHEAT Limited” to “Canopy Wave Holdings Inc.” be approved, conditional upon and effective at the Effective Time.</w:t>
            </w:r>
          </w:p>
        </w:tc>
      </w:tr>
      <w:tr>
        <w:trPr/>
        <w:tc>
          <w:tcPr>
            <w:tcW w:w="146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904" w:type="dxa"/>
            <w:tcBorders/>
            <w:vAlign w:val="center"/>
          </w:tcPr>
          <w:p>
            <w:pPr>
              <w:pStyle w:val="TableContents"/>
              <w:bidi w:val="0"/>
              <w:spacing w:before="0" w:after="283"/>
              <w:jc w:val="both"/>
              <w:rPr/>
            </w:pPr>
            <w:r>
              <w:rPr/>
              <w:t> </w:t>
            </w:r>
          </w:p>
        </w:tc>
        <w:tc>
          <w:tcPr>
            <w:tcW w:w="3388" w:type="dxa"/>
            <w:tcBorders/>
            <w:vAlign w:val="center"/>
          </w:tcPr>
          <w:p>
            <w:pPr>
              <w:pStyle w:val="TableContents"/>
              <w:bidi w:val="0"/>
              <w:spacing w:before="0" w:after="283"/>
              <w:jc w:val="both"/>
              <w:rPr/>
            </w:pPr>
            <w:r>
              <w:rPr/>
              <w:t> </w:t>
            </w:r>
          </w:p>
        </w:tc>
        <w:tc>
          <w:tcPr>
            <w:tcW w:w="3390" w:type="dxa"/>
            <w:tcBorders/>
            <w:vAlign w:val="center"/>
          </w:tcPr>
          <w:p>
            <w:pPr>
              <w:pStyle w:val="TableContents"/>
              <w:bidi w:val="0"/>
              <w:spacing w:before="0" w:after="283"/>
              <w:ind w:left="0" w:right="0" w:hanging="180"/>
              <w:jc w:val="both"/>
              <w:rPr/>
            </w:pPr>
            <w:r>
              <w:rPr/>
              <w:t> </w:t>
            </w:r>
          </w:p>
        </w:tc>
      </w:tr>
      <w:tr>
        <w:trPr/>
        <w:tc>
          <w:tcPr>
            <w:tcW w:w="146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904" w:type="dxa"/>
            <w:tcBorders/>
            <w:vAlign w:val="center"/>
          </w:tcPr>
          <w:p>
            <w:pPr>
              <w:pStyle w:val="TableContents"/>
              <w:bidi w:val="0"/>
              <w:spacing w:before="0" w:after="283"/>
              <w:jc w:val="both"/>
              <w:rPr/>
            </w:pPr>
            <w:r>
              <w:rPr/>
              <w:t xml:space="preserve">☐ </w:t>
            </w:r>
            <w:r>
              <w:rPr/>
              <w:t>FOR</w:t>
            </w:r>
          </w:p>
        </w:tc>
        <w:tc>
          <w:tcPr>
            <w:tcW w:w="3388" w:type="dxa"/>
            <w:tcBorders/>
            <w:vAlign w:val="center"/>
          </w:tcPr>
          <w:p>
            <w:pPr>
              <w:pStyle w:val="TableContents"/>
              <w:bidi w:val="0"/>
              <w:spacing w:before="0" w:after="283"/>
              <w:jc w:val="both"/>
              <w:rPr/>
            </w:pPr>
            <w:r>
              <w:rPr/>
              <w:t xml:space="preserve">☐ </w:t>
            </w:r>
            <w:r>
              <w:rPr/>
              <w:t>AGAINST</w:t>
            </w:r>
          </w:p>
        </w:tc>
        <w:tc>
          <w:tcPr>
            <w:tcW w:w="3390" w:type="dxa"/>
            <w:tcBorders/>
            <w:vAlign w:val="center"/>
          </w:tcPr>
          <w:p>
            <w:pPr>
              <w:pStyle w:val="TableContents"/>
              <w:bidi w:val="0"/>
              <w:spacing w:before="0" w:after="283"/>
              <w:jc w:val="both"/>
              <w:rPr/>
            </w:pPr>
            <w:r>
              <w:rPr/>
              <w:t xml:space="preserve">☐ </w:t>
            </w:r>
            <w:r>
              <w:rPr/>
              <w:t>ABSTAIN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422"/>
        <w:gridCol w:w="60"/>
        <w:gridCol w:w="1913"/>
        <w:gridCol w:w="3404"/>
        <w:gridCol w:w="3406"/>
      </w:tblGrid>
      <w:tr>
        <w:trPr/>
        <w:tc>
          <w:tcPr>
            <w:tcW w:w="1422" w:type="dxa"/>
            <w:tcBorders/>
            <w:vAlign w:val="center"/>
          </w:tcPr>
          <w:p>
            <w:pPr>
              <w:pStyle w:val="TableContents"/>
              <w:bidi w:val="0"/>
              <w:spacing w:before="0" w:after="283"/>
              <w:ind w:left="0" w:right="0" w:hanging="180"/>
              <w:jc w:val="left"/>
              <w:rPr/>
            </w:pPr>
            <w:r>
              <w:rPr/>
              <w:t>Proposal 3: as an ordinary resolution that:</w:t>
            </w:r>
          </w:p>
        </w:tc>
        <w:tc>
          <w:tcPr>
            <w:tcW w:w="60" w:type="dxa"/>
            <w:tcBorders/>
            <w:vAlign w:val="center"/>
          </w:tcPr>
          <w:p>
            <w:pPr>
              <w:pStyle w:val="TableContents"/>
              <w:bidi w:val="0"/>
              <w:spacing w:before="0" w:after="283"/>
              <w:jc w:val="left"/>
              <w:rPr/>
            </w:pPr>
            <w:r>
              <w:rPr/>
              <w:t> </w:t>
            </w:r>
          </w:p>
        </w:tc>
        <w:tc>
          <w:tcPr>
            <w:tcW w:w="8723" w:type="dxa"/>
            <w:gridSpan w:val="3"/>
            <w:tcBorders/>
            <w:vAlign w:val="center"/>
          </w:tcPr>
          <w:p>
            <w:pPr>
              <w:pStyle w:val="TableContents"/>
              <w:bidi w:val="0"/>
              <w:spacing w:before="0" w:after="283"/>
              <w:ind w:left="0" w:right="0" w:hanging="180"/>
              <w:jc w:val="both"/>
              <w:rPr/>
            </w:pPr>
            <w:r>
              <w:rPr/>
              <w:t>the fixing of the number of directors constituting the Company’s board of directors at five (5) immediately following the Effective Time, a majority of whom shall qualify as “independent directors” as defined in Nasdaq rules and be eligible to serve on an audit committee, conditional upon and effective at the Effective Time, be approved.</w:t>
            </w:r>
          </w:p>
        </w:tc>
      </w:tr>
      <w:tr>
        <w:trPr/>
        <w:tc>
          <w:tcPr>
            <w:tcW w:w="142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913" w:type="dxa"/>
            <w:tcBorders/>
            <w:vAlign w:val="center"/>
          </w:tcPr>
          <w:p>
            <w:pPr>
              <w:pStyle w:val="TableContents"/>
              <w:bidi w:val="0"/>
              <w:spacing w:before="0" w:after="283"/>
              <w:jc w:val="both"/>
              <w:rPr/>
            </w:pPr>
            <w:r>
              <w:rPr/>
              <w:t> </w:t>
            </w:r>
          </w:p>
        </w:tc>
        <w:tc>
          <w:tcPr>
            <w:tcW w:w="3404" w:type="dxa"/>
            <w:tcBorders/>
            <w:vAlign w:val="center"/>
          </w:tcPr>
          <w:p>
            <w:pPr>
              <w:pStyle w:val="TableContents"/>
              <w:bidi w:val="0"/>
              <w:spacing w:before="0" w:after="283"/>
              <w:jc w:val="both"/>
              <w:rPr/>
            </w:pPr>
            <w:r>
              <w:rPr/>
              <w:t> </w:t>
            </w:r>
          </w:p>
        </w:tc>
        <w:tc>
          <w:tcPr>
            <w:tcW w:w="3406" w:type="dxa"/>
            <w:tcBorders/>
            <w:vAlign w:val="center"/>
          </w:tcPr>
          <w:p>
            <w:pPr>
              <w:pStyle w:val="TableContents"/>
              <w:bidi w:val="0"/>
              <w:spacing w:before="0" w:after="283"/>
              <w:ind w:left="0" w:right="0" w:hanging="180"/>
              <w:jc w:val="both"/>
              <w:rPr/>
            </w:pPr>
            <w:r>
              <w:rPr/>
              <w:t> </w:t>
            </w:r>
          </w:p>
        </w:tc>
      </w:tr>
      <w:tr>
        <w:trPr/>
        <w:tc>
          <w:tcPr>
            <w:tcW w:w="142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913" w:type="dxa"/>
            <w:tcBorders/>
            <w:vAlign w:val="center"/>
          </w:tcPr>
          <w:p>
            <w:pPr>
              <w:pStyle w:val="TableContents"/>
              <w:bidi w:val="0"/>
              <w:spacing w:before="0" w:after="283"/>
              <w:jc w:val="both"/>
              <w:rPr/>
            </w:pPr>
            <w:r>
              <w:rPr/>
              <w:t xml:space="preserve">☐ </w:t>
            </w:r>
            <w:r>
              <w:rPr/>
              <w:t>FOR</w:t>
            </w:r>
          </w:p>
        </w:tc>
        <w:tc>
          <w:tcPr>
            <w:tcW w:w="3404" w:type="dxa"/>
            <w:tcBorders/>
            <w:vAlign w:val="center"/>
          </w:tcPr>
          <w:p>
            <w:pPr>
              <w:pStyle w:val="TableContents"/>
              <w:bidi w:val="0"/>
              <w:spacing w:before="0" w:after="283"/>
              <w:jc w:val="both"/>
              <w:rPr/>
            </w:pPr>
            <w:r>
              <w:rPr/>
              <w:t xml:space="preserve">☐ </w:t>
            </w:r>
            <w:r>
              <w:rPr/>
              <w:t>AGAINST</w:t>
            </w:r>
          </w:p>
        </w:tc>
        <w:tc>
          <w:tcPr>
            <w:tcW w:w="3406" w:type="dxa"/>
            <w:tcBorders/>
            <w:vAlign w:val="center"/>
          </w:tcPr>
          <w:p>
            <w:pPr>
              <w:pStyle w:val="TableContents"/>
              <w:bidi w:val="0"/>
              <w:spacing w:before="0" w:after="283"/>
              <w:ind w:left="0" w:right="0" w:hanging="180"/>
              <w:jc w:val="both"/>
              <w:rPr/>
            </w:pPr>
            <w:r>
              <w:rPr/>
              <w:t xml:space="preserve">☐ </w:t>
            </w:r>
            <w:r>
              <w:rPr/>
              <w:t>ABSTAIN</w:t>
            </w:r>
          </w:p>
        </w:tc>
      </w:tr>
      <w:tr>
        <w:trPr/>
        <w:tc>
          <w:tcPr>
            <w:tcW w:w="142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913" w:type="dxa"/>
            <w:tcBorders/>
            <w:vAlign w:val="center"/>
          </w:tcPr>
          <w:p>
            <w:pPr>
              <w:pStyle w:val="TableContents"/>
              <w:bidi w:val="0"/>
              <w:spacing w:before="0" w:after="283"/>
              <w:jc w:val="both"/>
              <w:rPr/>
            </w:pPr>
            <w:r>
              <w:rPr/>
              <w:t> </w:t>
            </w:r>
          </w:p>
        </w:tc>
        <w:tc>
          <w:tcPr>
            <w:tcW w:w="3404" w:type="dxa"/>
            <w:tcBorders/>
            <w:vAlign w:val="center"/>
          </w:tcPr>
          <w:p>
            <w:pPr>
              <w:pStyle w:val="TableContents"/>
              <w:bidi w:val="0"/>
              <w:spacing w:before="0" w:after="283"/>
              <w:jc w:val="both"/>
              <w:rPr/>
            </w:pPr>
            <w:r>
              <w:rPr/>
              <w:t> </w:t>
            </w:r>
          </w:p>
        </w:tc>
        <w:tc>
          <w:tcPr>
            <w:tcW w:w="3406" w:type="dxa"/>
            <w:tcBorders/>
            <w:vAlign w:val="center"/>
          </w:tcPr>
          <w:p>
            <w:pPr>
              <w:pStyle w:val="TableContents"/>
              <w:bidi w:val="0"/>
              <w:spacing w:before="0" w:after="283"/>
              <w:ind w:left="0" w:right="0" w:hanging="180"/>
              <w:jc w:val="both"/>
              <w:rPr/>
            </w:pPr>
            <w:r>
              <w:rPr/>
              <w:t> </w:t>
            </w:r>
          </w:p>
        </w:tc>
      </w:tr>
      <w:tr>
        <w:trPr/>
        <w:tc>
          <w:tcPr>
            <w:tcW w:w="1422" w:type="dxa"/>
            <w:tcBorders/>
            <w:vAlign w:val="center"/>
          </w:tcPr>
          <w:p>
            <w:pPr>
              <w:pStyle w:val="TableContents"/>
              <w:bidi w:val="0"/>
              <w:spacing w:before="0" w:after="283"/>
              <w:jc w:val="left"/>
              <w:rPr/>
            </w:pPr>
            <w:r>
              <w:rPr/>
              <w:t>Proposal 4: as a special resolution that:</w:t>
            </w:r>
          </w:p>
        </w:tc>
        <w:tc>
          <w:tcPr>
            <w:tcW w:w="60" w:type="dxa"/>
            <w:tcBorders/>
            <w:vAlign w:val="center"/>
          </w:tcPr>
          <w:p>
            <w:pPr>
              <w:pStyle w:val="TableContents"/>
              <w:bidi w:val="0"/>
              <w:spacing w:before="0" w:after="283"/>
              <w:jc w:val="left"/>
              <w:rPr/>
            </w:pPr>
            <w:r>
              <w:rPr/>
              <w:t> </w:t>
            </w:r>
          </w:p>
        </w:tc>
        <w:tc>
          <w:tcPr>
            <w:tcW w:w="8723" w:type="dxa"/>
            <w:gridSpan w:val="3"/>
            <w:tcBorders/>
            <w:vAlign w:val="center"/>
          </w:tcPr>
          <w:p>
            <w:pPr>
              <w:pStyle w:val="TableContents"/>
              <w:bidi w:val="0"/>
              <w:spacing w:before="0" w:after="283"/>
              <w:ind w:left="0" w:right="0" w:hanging="180"/>
              <w:jc w:val="both"/>
              <w:rPr/>
            </w:pPr>
            <w:r>
              <w:rPr/>
              <w:t>the adoption of the A&amp;R MAA, in the form furnished as Exhibit 99.3 to the Company’s Report on Form 6-K, in substitution for, and to the exclusion of, the Existing M&amp;A, conditional upon and effective at the Effective Time, be approved.</w:t>
            </w:r>
          </w:p>
        </w:tc>
      </w:tr>
      <w:tr>
        <w:trPr/>
        <w:tc>
          <w:tcPr>
            <w:tcW w:w="142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913" w:type="dxa"/>
            <w:tcBorders/>
            <w:vAlign w:val="center"/>
          </w:tcPr>
          <w:p>
            <w:pPr>
              <w:pStyle w:val="TableContents"/>
              <w:bidi w:val="0"/>
              <w:spacing w:before="0" w:after="283"/>
              <w:jc w:val="both"/>
              <w:rPr/>
            </w:pPr>
            <w:r>
              <w:rPr/>
              <w:t> </w:t>
            </w:r>
          </w:p>
        </w:tc>
        <w:tc>
          <w:tcPr>
            <w:tcW w:w="3404" w:type="dxa"/>
            <w:tcBorders/>
            <w:vAlign w:val="center"/>
          </w:tcPr>
          <w:p>
            <w:pPr>
              <w:pStyle w:val="TableContents"/>
              <w:bidi w:val="0"/>
              <w:spacing w:before="0" w:after="283"/>
              <w:jc w:val="both"/>
              <w:rPr/>
            </w:pPr>
            <w:r>
              <w:rPr/>
              <w:t> </w:t>
            </w:r>
          </w:p>
        </w:tc>
        <w:tc>
          <w:tcPr>
            <w:tcW w:w="3406" w:type="dxa"/>
            <w:tcBorders/>
            <w:vAlign w:val="center"/>
          </w:tcPr>
          <w:p>
            <w:pPr>
              <w:pStyle w:val="TableContents"/>
              <w:bidi w:val="0"/>
              <w:spacing w:before="0" w:after="283"/>
              <w:ind w:left="0" w:right="0" w:hanging="180"/>
              <w:jc w:val="both"/>
              <w:rPr/>
            </w:pPr>
            <w:r>
              <w:rPr/>
              <w:t> </w:t>
            </w:r>
          </w:p>
        </w:tc>
      </w:tr>
      <w:tr>
        <w:trPr/>
        <w:tc>
          <w:tcPr>
            <w:tcW w:w="142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913" w:type="dxa"/>
            <w:tcBorders/>
            <w:vAlign w:val="center"/>
          </w:tcPr>
          <w:p>
            <w:pPr>
              <w:pStyle w:val="TableContents"/>
              <w:bidi w:val="0"/>
              <w:spacing w:before="0" w:after="283"/>
              <w:jc w:val="both"/>
              <w:rPr/>
            </w:pPr>
            <w:r>
              <w:rPr/>
              <w:t xml:space="preserve">☐ </w:t>
            </w:r>
            <w:r>
              <w:rPr/>
              <w:t>FOR</w:t>
            </w:r>
          </w:p>
        </w:tc>
        <w:tc>
          <w:tcPr>
            <w:tcW w:w="3404" w:type="dxa"/>
            <w:tcBorders/>
            <w:vAlign w:val="center"/>
          </w:tcPr>
          <w:p>
            <w:pPr>
              <w:pStyle w:val="TableContents"/>
              <w:bidi w:val="0"/>
              <w:spacing w:before="0" w:after="283"/>
              <w:jc w:val="both"/>
              <w:rPr/>
            </w:pPr>
            <w:r>
              <w:rPr/>
              <w:t xml:space="preserve">☐ </w:t>
            </w:r>
            <w:r>
              <w:rPr/>
              <w:t>AGAINST</w:t>
            </w:r>
          </w:p>
        </w:tc>
        <w:tc>
          <w:tcPr>
            <w:tcW w:w="3406" w:type="dxa"/>
            <w:tcBorders/>
            <w:vAlign w:val="center"/>
          </w:tcPr>
          <w:p>
            <w:pPr>
              <w:pStyle w:val="TableContents"/>
              <w:bidi w:val="0"/>
              <w:spacing w:before="0" w:after="283"/>
              <w:ind w:left="0" w:right="0" w:hanging="180"/>
              <w:jc w:val="both"/>
              <w:rPr/>
            </w:pPr>
            <w:r>
              <w:rPr/>
              <w:t xml:space="preserve">☐ </w:t>
            </w:r>
            <w:r>
              <w:rPr/>
              <w:t>ABSTAIN</w:t>
            </w:r>
          </w:p>
        </w:tc>
      </w:tr>
      <w:tr>
        <w:trPr/>
        <w:tc>
          <w:tcPr>
            <w:tcW w:w="142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913" w:type="dxa"/>
            <w:tcBorders/>
            <w:vAlign w:val="center"/>
          </w:tcPr>
          <w:p>
            <w:pPr>
              <w:pStyle w:val="TableContents"/>
              <w:bidi w:val="0"/>
              <w:spacing w:before="0" w:after="283"/>
              <w:jc w:val="both"/>
              <w:rPr/>
            </w:pPr>
            <w:r>
              <w:rPr/>
              <w:t> </w:t>
            </w:r>
          </w:p>
        </w:tc>
        <w:tc>
          <w:tcPr>
            <w:tcW w:w="3404" w:type="dxa"/>
            <w:tcBorders/>
            <w:vAlign w:val="center"/>
          </w:tcPr>
          <w:p>
            <w:pPr>
              <w:pStyle w:val="TableContents"/>
              <w:bidi w:val="0"/>
              <w:spacing w:before="0" w:after="283"/>
              <w:jc w:val="both"/>
              <w:rPr/>
            </w:pPr>
            <w:r>
              <w:rPr/>
              <w:t> </w:t>
            </w:r>
          </w:p>
        </w:tc>
        <w:tc>
          <w:tcPr>
            <w:tcW w:w="3406" w:type="dxa"/>
            <w:tcBorders/>
            <w:vAlign w:val="center"/>
          </w:tcPr>
          <w:p>
            <w:pPr>
              <w:pStyle w:val="TableContents"/>
              <w:bidi w:val="0"/>
              <w:spacing w:before="0" w:after="283"/>
              <w:ind w:left="0" w:right="0" w:hanging="180"/>
              <w:jc w:val="both"/>
              <w:rPr/>
            </w:pPr>
            <w:r>
              <w:rPr/>
              <w:t> </w:t>
            </w:r>
          </w:p>
        </w:tc>
      </w:tr>
      <w:tr>
        <w:trPr/>
        <w:tc>
          <w:tcPr>
            <w:tcW w:w="1422" w:type="dxa"/>
            <w:tcBorders/>
            <w:vAlign w:val="center"/>
          </w:tcPr>
          <w:p>
            <w:pPr>
              <w:pStyle w:val="TableContents"/>
              <w:bidi w:val="0"/>
              <w:spacing w:before="0" w:after="283"/>
              <w:jc w:val="left"/>
              <w:rPr/>
            </w:pPr>
            <w:r>
              <w:rPr/>
              <w:t>Proposal 5: as an ordinary resolution that:</w:t>
            </w:r>
          </w:p>
        </w:tc>
        <w:tc>
          <w:tcPr>
            <w:tcW w:w="60" w:type="dxa"/>
            <w:tcBorders/>
            <w:vAlign w:val="center"/>
          </w:tcPr>
          <w:p>
            <w:pPr>
              <w:pStyle w:val="TableContents"/>
              <w:bidi w:val="0"/>
              <w:spacing w:before="0" w:after="283"/>
              <w:jc w:val="left"/>
              <w:rPr/>
            </w:pPr>
            <w:r>
              <w:rPr/>
              <w:t> </w:t>
            </w:r>
          </w:p>
        </w:tc>
        <w:tc>
          <w:tcPr>
            <w:tcW w:w="8723" w:type="dxa"/>
            <w:gridSpan w:val="3"/>
            <w:tcBorders/>
            <w:vAlign w:val="center"/>
          </w:tcPr>
          <w:p>
            <w:pPr>
              <w:pStyle w:val="TableContents"/>
              <w:bidi w:val="0"/>
              <w:spacing w:before="0" w:after="283"/>
              <w:ind w:left="0" w:right="0" w:hanging="180"/>
              <w:jc w:val="both"/>
              <w:rPr/>
            </w:pPr>
            <w:r>
              <w:rPr/>
              <w:t>the issuance and allotment of the Consideration Shares in connection with the Merger, the issuance and allotment of the PIPE Shares pursuant to the PIPE Share Purchase Agreement, and the change of control of the Company resulting from the Merger, in each case for the purposes of Nasdaq Listing Rule 5635(a), (b) and (d) and conditional upon and effective at the Effective Time, be approved.</w:t>
            </w:r>
          </w:p>
        </w:tc>
      </w:tr>
      <w:tr>
        <w:trPr/>
        <w:tc>
          <w:tcPr>
            <w:tcW w:w="142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723" w:type="dxa"/>
            <w:gridSpan w:val="3"/>
            <w:tcBorders/>
            <w:vAlign w:val="center"/>
          </w:tcPr>
          <w:p>
            <w:pPr>
              <w:pStyle w:val="TableContents"/>
              <w:bidi w:val="0"/>
              <w:spacing w:before="0" w:after="283"/>
              <w:ind w:left="0" w:right="0" w:hanging="180"/>
              <w:jc w:val="both"/>
              <w:rPr/>
            </w:pPr>
            <w:r>
              <w:rPr/>
              <w:t> </w:t>
            </w:r>
          </w:p>
        </w:tc>
      </w:tr>
      <w:tr>
        <w:trPr/>
        <w:tc>
          <w:tcPr>
            <w:tcW w:w="142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913" w:type="dxa"/>
            <w:tcBorders/>
            <w:vAlign w:val="center"/>
          </w:tcPr>
          <w:p>
            <w:pPr>
              <w:pStyle w:val="TableContents"/>
              <w:bidi w:val="0"/>
              <w:spacing w:before="0" w:after="283"/>
              <w:jc w:val="both"/>
              <w:rPr/>
            </w:pPr>
            <w:r>
              <w:rPr/>
              <w:t xml:space="preserve">☐ </w:t>
            </w:r>
            <w:r>
              <w:rPr/>
              <w:t>FOR</w:t>
            </w:r>
          </w:p>
        </w:tc>
        <w:tc>
          <w:tcPr>
            <w:tcW w:w="3404" w:type="dxa"/>
            <w:tcBorders/>
            <w:vAlign w:val="center"/>
          </w:tcPr>
          <w:p>
            <w:pPr>
              <w:pStyle w:val="TableContents"/>
              <w:bidi w:val="0"/>
              <w:spacing w:before="0" w:after="283"/>
              <w:jc w:val="both"/>
              <w:rPr/>
            </w:pPr>
            <w:r>
              <w:rPr/>
              <w:t xml:space="preserve">☐ </w:t>
            </w:r>
            <w:r>
              <w:rPr/>
              <w:t>AGAINST</w:t>
            </w:r>
          </w:p>
        </w:tc>
        <w:tc>
          <w:tcPr>
            <w:tcW w:w="3406" w:type="dxa"/>
            <w:tcBorders/>
            <w:vAlign w:val="center"/>
          </w:tcPr>
          <w:p>
            <w:pPr>
              <w:pStyle w:val="TableContents"/>
              <w:bidi w:val="0"/>
              <w:spacing w:before="0" w:after="283"/>
              <w:jc w:val="both"/>
              <w:rPr/>
            </w:pPr>
            <w:r>
              <w:rPr/>
              <w:t xml:space="preserve">☐ </w:t>
            </w:r>
            <w:r>
              <w:rPr/>
              <w:t>ABSTAIN</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center"/>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310"/>
        <w:gridCol w:w="60"/>
        <w:gridCol w:w="291"/>
        <w:gridCol w:w="8544"/>
      </w:tblGrid>
      <w:tr>
        <w:trPr/>
        <w:tc>
          <w:tcPr>
            <w:tcW w:w="1310" w:type="dxa"/>
            <w:tcBorders/>
            <w:vAlign w:val="center"/>
          </w:tcPr>
          <w:p>
            <w:pPr>
              <w:pStyle w:val="TableContents"/>
              <w:bidi w:val="0"/>
              <w:spacing w:before="0" w:after="283"/>
              <w:ind w:left="0" w:right="0" w:hanging="180"/>
              <w:jc w:val="left"/>
              <w:rPr>
                <w:sz w:val="20"/>
              </w:rPr>
            </w:pPr>
            <w:r>
              <w:rPr>
                <w:sz w:val="20"/>
              </w:rPr>
              <w:t>Proposal 6: as ordinary resolutions that:</w:t>
            </w:r>
          </w:p>
        </w:tc>
        <w:tc>
          <w:tcPr>
            <w:tcW w:w="6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jc w:val="left"/>
              <w:rPr/>
            </w:pPr>
            <w:r>
              <w:rPr/>
              <w:t>(i)</w:t>
            </w:r>
          </w:p>
          <w:p>
            <w:pPr>
              <w:pStyle w:val="TableContents"/>
              <w:bidi w:val="0"/>
              <w:jc w:val="left"/>
              <w:rPr/>
            </w:pPr>
            <w:r>
              <w:rPr/>
              <w:t> </w:t>
            </w:r>
          </w:p>
          <w:p>
            <w:pPr>
              <w:pStyle w:val="TableContents"/>
              <w:bidi w:val="0"/>
              <w:spacing w:before="0" w:after="283"/>
              <w:jc w:val="left"/>
              <w:rPr/>
            </w:pPr>
            <w:r>
              <w:rPr/>
              <w:t>(ii)</w:t>
            </w:r>
          </w:p>
        </w:tc>
        <w:tc>
          <w:tcPr>
            <w:tcW w:w="8544" w:type="dxa"/>
            <w:tcBorders/>
            <w:vAlign w:val="center"/>
          </w:tcPr>
          <w:p>
            <w:pPr>
              <w:pStyle w:val="TableContents"/>
              <w:bidi w:val="0"/>
              <w:jc w:val="both"/>
              <w:rPr/>
            </w:pPr>
            <w:r>
              <w:rPr/>
              <w:t>the Merger Agreement;</w:t>
            </w:r>
          </w:p>
          <w:p>
            <w:pPr>
              <w:pStyle w:val="TableContents"/>
              <w:bidi w:val="0"/>
              <w:jc w:val="both"/>
              <w:rPr/>
            </w:pPr>
            <w:r>
              <w:rPr/>
              <w:t> </w:t>
            </w:r>
          </w:p>
          <w:p>
            <w:pPr>
              <w:pStyle w:val="TableContents"/>
              <w:bidi w:val="0"/>
              <w:spacing w:before="0" w:after="283"/>
              <w:ind w:left="0" w:right="0" w:hanging="180"/>
              <w:jc w:val="both"/>
              <w:rPr/>
            </w:pPr>
            <w:r>
              <w:rPr/>
              <w:t xml:space="preserve">the other Transaction Agreements referred to in the EGM Notice; </w:t>
            </w:r>
          </w:p>
        </w:tc>
      </w:tr>
      <w:tr>
        <w:trPr/>
        <w:tc>
          <w:tcPr>
            <w:tcW w:w="1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8544" w:type="dxa"/>
            <w:tcBorders/>
            <w:vAlign w:val="center"/>
          </w:tcPr>
          <w:p>
            <w:pPr>
              <w:pStyle w:val="TableContents"/>
              <w:bidi w:val="0"/>
              <w:spacing w:before="0" w:after="283"/>
              <w:jc w:val="both"/>
              <w:rPr/>
            </w:pPr>
            <w:r>
              <w:rPr/>
              <w:t> </w:t>
            </w:r>
          </w:p>
        </w:tc>
      </w:tr>
      <w:tr>
        <w:trPr/>
        <w:tc>
          <w:tcPr>
            <w:tcW w:w="1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(iii)</w:t>
            </w:r>
          </w:p>
        </w:tc>
        <w:tc>
          <w:tcPr>
            <w:tcW w:w="8544" w:type="dxa"/>
            <w:tcBorders/>
            <w:vAlign w:val="center"/>
          </w:tcPr>
          <w:p>
            <w:pPr>
              <w:pStyle w:val="TableContents"/>
              <w:bidi w:val="0"/>
              <w:spacing w:before="0" w:after="283"/>
              <w:jc w:val="both"/>
              <w:rPr/>
            </w:pPr>
            <w:r>
              <w:rPr/>
              <w:t>the completion of the transactions contemplated by the Merger Agreement and such other Transaction Agreements, in accordance with the terms and subject to the conditions set forth therein, be approved in all respects; and</w:t>
            </w:r>
          </w:p>
        </w:tc>
      </w:tr>
      <w:tr>
        <w:trPr/>
        <w:tc>
          <w:tcPr>
            <w:tcW w:w="1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8544" w:type="dxa"/>
            <w:tcBorders/>
            <w:vAlign w:val="center"/>
          </w:tcPr>
          <w:p>
            <w:pPr>
              <w:pStyle w:val="TableContents"/>
              <w:bidi w:val="0"/>
              <w:spacing w:before="0" w:after="283"/>
              <w:jc w:val="both"/>
              <w:rPr/>
            </w:pPr>
            <w:r>
              <w:rPr/>
              <w:t> </w:t>
            </w:r>
          </w:p>
        </w:tc>
      </w:tr>
      <w:tr>
        <w:trPr/>
        <w:tc>
          <w:tcPr>
            <w:tcW w:w="1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(iv)</w:t>
            </w:r>
          </w:p>
        </w:tc>
        <w:tc>
          <w:tcPr>
            <w:tcW w:w="8544" w:type="dxa"/>
            <w:tcBorders/>
            <w:vAlign w:val="center"/>
          </w:tcPr>
          <w:p>
            <w:pPr>
              <w:pStyle w:val="TableContents"/>
              <w:bidi w:val="0"/>
              <w:spacing w:before="0" w:after="283"/>
              <w:jc w:val="both"/>
              <w:rPr/>
            </w:pPr>
            <w:r>
              <w:rPr/>
              <w:t>that any director be authorized, for and on behalf of the Company, to do all such acts and things and to execute and deliver, as a deed or under seal if required, all such documents as he considers necessary, desirable or expedient in connection with, or ancillary to, the transactions contemplated by the Merger Agreement and such other Transaction Agreements.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545"/>
        <w:gridCol w:w="60"/>
        <w:gridCol w:w="1886"/>
        <w:gridCol w:w="3356"/>
        <w:gridCol w:w="3358"/>
      </w:tblGrid>
      <w:tr>
        <w:trPr/>
        <w:tc>
          <w:tcPr>
            <w:tcW w:w="154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886" w:type="dxa"/>
            <w:tcBorders/>
            <w:vAlign w:val="center"/>
          </w:tcPr>
          <w:p>
            <w:pPr>
              <w:pStyle w:val="TableContents"/>
              <w:bidi w:val="0"/>
              <w:spacing w:before="0" w:after="283"/>
              <w:jc w:val="both"/>
              <w:rPr/>
            </w:pPr>
            <w:r>
              <w:rPr/>
              <w:t xml:space="preserve">☐ </w:t>
            </w:r>
            <w:r>
              <w:rPr/>
              <w:t>FOR</w:t>
            </w:r>
          </w:p>
        </w:tc>
        <w:tc>
          <w:tcPr>
            <w:tcW w:w="3356" w:type="dxa"/>
            <w:tcBorders/>
            <w:vAlign w:val="center"/>
          </w:tcPr>
          <w:p>
            <w:pPr>
              <w:pStyle w:val="TableContents"/>
              <w:bidi w:val="0"/>
              <w:spacing w:before="0" w:after="283"/>
              <w:jc w:val="both"/>
              <w:rPr/>
            </w:pPr>
            <w:r>
              <w:rPr/>
              <w:t xml:space="preserve">☐ </w:t>
            </w:r>
            <w:r>
              <w:rPr/>
              <w:t>AGAINST</w:t>
            </w:r>
          </w:p>
        </w:tc>
        <w:tc>
          <w:tcPr>
            <w:tcW w:w="3358" w:type="dxa"/>
            <w:tcBorders/>
            <w:vAlign w:val="center"/>
          </w:tcPr>
          <w:p>
            <w:pPr>
              <w:pStyle w:val="TableContents"/>
              <w:bidi w:val="0"/>
              <w:spacing w:before="0" w:after="283"/>
              <w:jc w:val="both"/>
              <w:rPr/>
            </w:pPr>
            <w:r>
              <w:rPr/>
              <w:t xml:space="preserve">☐ </w:t>
            </w:r>
            <w:r>
              <w:rPr/>
              <w:t>ABSTAIN</w:t>
            </w:r>
          </w:p>
        </w:tc>
      </w:tr>
      <w:tr>
        <w:trPr/>
        <w:tc>
          <w:tcPr>
            <w:tcW w:w="154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886" w:type="dxa"/>
            <w:tcBorders/>
            <w:vAlign w:val="center"/>
          </w:tcPr>
          <w:p>
            <w:pPr>
              <w:pStyle w:val="TableContents"/>
              <w:bidi w:val="0"/>
              <w:spacing w:before="0" w:after="283"/>
              <w:jc w:val="both"/>
              <w:rPr/>
            </w:pPr>
            <w:r>
              <w:rPr/>
              <w:t> </w:t>
            </w:r>
          </w:p>
        </w:tc>
        <w:tc>
          <w:tcPr>
            <w:tcW w:w="3356" w:type="dxa"/>
            <w:tcBorders/>
            <w:vAlign w:val="center"/>
          </w:tcPr>
          <w:p>
            <w:pPr>
              <w:pStyle w:val="TableContents"/>
              <w:bidi w:val="0"/>
              <w:spacing w:before="0" w:after="283"/>
              <w:jc w:val="both"/>
              <w:rPr/>
            </w:pPr>
            <w:r>
              <w:rPr/>
              <w:t> </w:t>
            </w:r>
          </w:p>
        </w:tc>
        <w:tc>
          <w:tcPr>
            <w:tcW w:w="3358" w:type="dxa"/>
            <w:tcBorders/>
            <w:vAlign w:val="center"/>
          </w:tcPr>
          <w:p>
            <w:pPr>
              <w:pStyle w:val="TableContents"/>
              <w:bidi w:val="0"/>
              <w:spacing w:before="0" w:after="283"/>
              <w:ind w:left="0" w:right="0" w:hanging="180"/>
              <w:jc w:val="both"/>
              <w:rPr/>
            </w:pPr>
            <w:r>
              <w:rPr/>
              <w:t> </w:t>
            </w:r>
          </w:p>
        </w:tc>
      </w:tr>
      <w:tr>
        <w:trPr/>
        <w:tc>
          <w:tcPr>
            <w:tcW w:w="1545" w:type="dxa"/>
            <w:tcBorders/>
            <w:vAlign w:val="center"/>
          </w:tcPr>
          <w:p>
            <w:pPr>
              <w:pStyle w:val="TableContents"/>
              <w:bidi w:val="0"/>
              <w:spacing w:before="0" w:after="283"/>
              <w:jc w:val="left"/>
              <w:rPr/>
            </w:pPr>
            <w:r>
              <w:rPr/>
              <w:t>Proposal 7: as an ordinary resolution that:</w:t>
            </w:r>
          </w:p>
        </w:tc>
        <w:tc>
          <w:tcPr>
            <w:tcW w:w="60" w:type="dxa"/>
            <w:tcBorders/>
            <w:vAlign w:val="center"/>
          </w:tcPr>
          <w:p>
            <w:pPr>
              <w:pStyle w:val="TableContents"/>
              <w:bidi w:val="0"/>
              <w:spacing w:before="0" w:after="283"/>
              <w:jc w:val="left"/>
              <w:rPr/>
            </w:pPr>
            <w:r>
              <w:rPr/>
              <w:t> </w:t>
            </w:r>
          </w:p>
        </w:tc>
        <w:tc>
          <w:tcPr>
            <w:tcW w:w="8600" w:type="dxa"/>
            <w:gridSpan w:val="3"/>
            <w:tcBorders/>
            <w:vAlign w:val="center"/>
          </w:tcPr>
          <w:p>
            <w:pPr>
              <w:pStyle w:val="TableContents"/>
              <w:bidi w:val="0"/>
              <w:spacing w:before="0" w:after="283"/>
              <w:ind w:left="0" w:right="0" w:hanging="180"/>
              <w:jc w:val="both"/>
              <w:rPr/>
            </w:pPr>
            <w:r>
              <w:rPr/>
              <w:t>the adjournment of the Extraordinary General Meeting by the Chair thereof to a later date or dates, if necessary or appropriate, to permit further solicitation of proxies in the event that there are insufficient votes at the time of the Extraordinary General Meeting to approve any of the foregoing proposals, be approved.</w:t>
            </w:r>
          </w:p>
        </w:tc>
      </w:tr>
      <w:tr>
        <w:trPr/>
        <w:tc>
          <w:tcPr>
            <w:tcW w:w="1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0" w:type="dxa"/>
            <w:gridSpan w:val="3"/>
            <w:tcBorders/>
            <w:vAlign w:val="center"/>
          </w:tcPr>
          <w:p>
            <w:pPr>
              <w:pStyle w:val="TableContents"/>
              <w:bidi w:val="0"/>
              <w:spacing w:before="0" w:after="283"/>
              <w:jc w:val="both"/>
              <w:rPr/>
            </w:pPr>
            <w:r>
              <w:rPr/>
              <w:t> </w:t>
            </w:r>
          </w:p>
        </w:tc>
      </w:tr>
      <w:tr>
        <w:trPr/>
        <w:tc>
          <w:tcPr>
            <w:tcW w:w="154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886" w:type="dxa"/>
            <w:tcBorders/>
            <w:vAlign w:val="center"/>
          </w:tcPr>
          <w:p>
            <w:pPr>
              <w:pStyle w:val="TableContents"/>
              <w:bidi w:val="0"/>
              <w:spacing w:before="0" w:after="283"/>
              <w:jc w:val="both"/>
              <w:rPr/>
            </w:pPr>
            <w:r>
              <w:rPr/>
              <w:t xml:space="preserve">☐ </w:t>
            </w:r>
            <w:r>
              <w:rPr/>
              <w:t>FOR</w:t>
            </w:r>
          </w:p>
        </w:tc>
        <w:tc>
          <w:tcPr>
            <w:tcW w:w="3356" w:type="dxa"/>
            <w:tcBorders/>
            <w:vAlign w:val="center"/>
          </w:tcPr>
          <w:p>
            <w:pPr>
              <w:pStyle w:val="TableContents"/>
              <w:bidi w:val="0"/>
              <w:spacing w:before="0" w:after="283"/>
              <w:jc w:val="both"/>
              <w:rPr/>
            </w:pPr>
            <w:r>
              <w:rPr/>
              <w:t xml:space="preserve">☐ </w:t>
            </w:r>
            <w:r>
              <w:rPr/>
              <w:t>AGAINST</w:t>
            </w:r>
          </w:p>
        </w:tc>
        <w:tc>
          <w:tcPr>
            <w:tcW w:w="3358" w:type="dxa"/>
            <w:tcBorders/>
            <w:vAlign w:val="center"/>
          </w:tcPr>
          <w:p>
            <w:pPr>
              <w:pStyle w:val="TableContents"/>
              <w:bidi w:val="0"/>
              <w:spacing w:before="0" w:after="283"/>
              <w:jc w:val="both"/>
              <w:rPr/>
            </w:pPr>
            <w:r>
              <w:rPr/>
              <w:t xml:space="preserve">☐ </w:t>
            </w:r>
            <w:r>
              <w:rPr/>
              <w:t>ABSTAIN</w:t>
            </w:r>
          </w:p>
        </w:tc>
      </w:tr>
      <w:tr>
        <w:trPr/>
        <w:tc>
          <w:tcPr>
            <w:tcW w:w="154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886" w:type="dxa"/>
            <w:tcBorders/>
            <w:vAlign w:val="center"/>
          </w:tcPr>
          <w:p>
            <w:pPr>
              <w:pStyle w:val="TableContents"/>
              <w:bidi w:val="0"/>
              <w:spacing w:before="0" w:after="283"/>
              <w:jc w:val="both"/>
              <w:rPr/>
            </w:pPr>
            <w:r>
              <w:rPr/>
              <w:t> </w:t>
            </w:r>
          </w:p>
        </w:tc>
        <w:tc>
          <w:tcPr>
            <w:tcW w:w="3356" w:type="dxa"/>
            <w:tcBorders/>
            <w:vAlign w:val="center"/>
          </w:tcPr>
          <w:p>
            <w:pPr>
              <w:pStyle w:val="TableContents"/>
              <w:bidi w:val="0"/>
              <w:spacing w:before="0" w:after="283"/>
              <w:jc w:val="both"/>
              <w:rPr/>
            </w:pPr>
            <w:r>
              <w:rPr/>
              <w:t> </w:t>
            </w:r>
          </w:p>
        </w:tc>
        <w:tc>
          <w:tcPr>
            <w:tcW w:w="3358" w:type="dxa"/>
            <w:tcBorders/>
            <w:vAlign w:val="center"/>
          </w:tcPr>
          <w:p>
            <w:pPr>
              <w:pStyle w:val="TableContents"/>
              <w:bidi w:val="0"/>
              <w:spacing w:before="0" w:after="283"/>
              <w:jc w:val="both"/>
              <w:rPr/>
            </w:pPr>
            <w:r>
              <w:rPr/>
              <w:t> </w:t>
            </w:r>
          </w:p>
        </w:tc>
      </w:tr>
      <w:tr>
        <w:trPr/>
        <w:tc>
          <w:tcPr>
            <w:tcW w:w="1545" w:type="dxa"/>
            <w:tcBorders/>
            <w:vAlign w:val="center"/>
          </w:tcPr>
          <w:p>
            <w:pPr>
              <w:pStyle w:val="TableContents"/>
              <w:bidi w:val="0"/>
              <w:spacing w:before="0" w:after="283"/>
              <w:jc w:val="both"/>
              <w:rPr/>
            </w:pPr>
            <w:r>
              <w:rPr/>
              <w:t>Dated</w:t>
            </w:r>
          </w:p>
        </w:tc>
        <w:tc>
          <w:tcPr>
            <w:tcW w:w="60" w:type="dxa"/>
            <w:tcBorders/>
            <w:vAlign w:val="center"/>
          </w:tcPr>
          <w:p>
            <w:pPr>
              <w:pStyle w:val="TableContents"/>
              <w:bidi w:val="0"/>
              <w:spacing w:before="0" w:after="283"/>
              <w:jc w:val="left"/>
              <w:rPr/>
            </w:pPr>
            <w:r>
              <w:rPr/>
              <w:t> </w:t>
            </w:r>
          </w:p>
        </w:tc>
        <w:tc>
          <w:tcPr>
            <w:tcW w:w="1886" w:type="dxa"/>
            <w:tcBorders>
              <w:bottom w:val="single" w:sz="12" w:space="0" w:color="000000"/>
            </w:tcBorders>
            <w:tcMar>
              <w:bottom w:w="28" w:type="dxa"/>
            </w:tcMar>
            <w:vAlign w:val="center"/>
          </w:tcPr>
          <w:p>
            <w:pPr>
              <w:pStyle w:val="TableContents"/>
              <w:bidi w:val="0"/>
              <w:spacing w:before="0" w:after="283"/>
              <w:jc w:val="left"/>
              <w:rPr/>
            </w:pPr>
            <w:r>
              <w:rPr/>
              <w:t> </w:t>
            </w:r>
          </w:p>
        </w:tc>
        <w:tc>
          <w:tcPr>
            <w:tcW w:w="3356" w:type="dxa"/>
            <w:tcBorders/>
            <w:vAlign w:val="center"/>
          </w:tcPr>
          <w:p>
            <w:pPr>
              <w:pStyle w:val="TableContents"/>
              <w:bidi w:val="0"/>
              <w:spacing w:before="0" w:after="283"/>
              <w:jc w:val="both"/>
              <w:rPr/>
            </w:pPr>
            <w:r>
              <w:rPr/>
              <w:t>Signature(s)</w:t>
            </w:r>
            <w:r>
              <w:rPr>
                <w:position w:val="7"/>
                <w:sz w:val="16"/>
                <w:sz w:val="20"/>
              </w:rPr>
              <w:t>5</w:t>
            </w:r>
          </w:p>
        </w:tc>
        <w:tc>
          <w:tcPr>
            <w:tcW w:w="3358" w:type="dxa"/>
            <w:tcBorders>
              <w:bottom w:val="single" w:sz="12" w:space="0" w:color="000000"/>
            </w:tcBorders>
            <w:tcMar>
              <w:bottom w:w="28" w:type="dxa"/>
            </w:tcM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283"/>
              <w:jc w:val="left"/>
              <w:rPr/>
            </w:pPr>
            <w:r>
              <w:rPr/>
              <w:t>1.</w:t>
            </w:r>
          </w:p>
        </w:tc>
        <w:tc>
          <w:tcPr>
            <w:tcW w:w="10026" w:type="dxa"/>
            <w:tcBorders/>
            <w:vAlign w:val="center"/>
          </w:tcPr>
          <w:p>
            <w:pPr>
              <w:pStyle w:val="TableContents"/>
              <w:bidi w:val="0"/>
              <w:spacing w:before="0" w:after="283"/>
              <w:jc w:val="both"/>
              <w:rPr/>
            </w:pPr>
            <w:r>
              <w:rPr/>
              <w:t>Please insert the number and class of shares registered in your name(s) to which this proxy relates. If no number or class is inserted, this Form of Proxy Card will be deemed to relate to all the shares in the Company registered in your name(s).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2.</w:t>
            </w:r>
          </w:p>
        </w:tc>
        <w:tc>
          <w:tcPr>
            <w:tcW w:w="10035" w:type="dxa"/>
            <w:tcBorders/>
            <w:vAlign w:val="center"/>
          </w:tcPr>
          <w:p>
            <w:pPr>
              <w:pStyle w:val="TableContents"/>
              <w:bidi w:val="0"/>
              <w:spacing w:before="0" w:after="283"/>
              <w:jc w:val="both"/>
              <w:rPr/>
            </w:pPr>
            <w:r>
              <w:rPr/>
              <w:t>A proxy need not be a shareholder of the Company. A shareholder entitled to attend and vote at the Extraordinary General Meeting is entitled to appoint one or more proxies to attend and vote in their stead. Please insert the name of the person(s) of your own choice that you wish to be appointed proxy in the space provided, failing which the Chair will be appointed as your proxy.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283"/>
              <w:jc w:val="left"/>
              <w:rPr/>
            </w:pPr>
            <w:r>
              <w:rPr/>
              <w:t>3.</w:t>
            </w:r>
          </w:p>
        </w:tc>
        <w:tc>
          <w:tcPr>
            <w:tcW w:w="10037" w:type="dxa"/>
            <w:tcBorders/>
            <w:vAlign w:val="center"/>
          </w:tcPr>
          <w:p>
            <w:pPr>
              <w:pStyle w:val="TableContents"/>
              <w:bidi w:val="0"/>
              <w:spacing w:before="0" w:after="283"/>
              <w:jc w:val="both"/>
              <w:rPr/>
            </w:pPr>
            <w:r>
              <w:rPr/>
              <w:t>If any proxy other than the Chair is preferred, strike out the words “</w:t>
            </w:r>
            <w:r>
              <w:rPr>
                <w:b/>
              </w:rPr>
              <w:t>the Chair of the Extraordinary General Meeting</w:t>
            </w:r>
            <w:r>
              <w:rPr/>
              <w:t xml:space="preserve">” and insert the name and address of the proxy desired in the space provided. A shareholder may appoint one or more proxies to attend and vote in their stead. </w:t>
            </w:r>
            <w:r>
              <w:rPr>
                <w:b/>
              </w:rPr>
              <w:t>ANY ALTERATION MADE TO THIS FORM OF PROXY CARD MUST BE INITIALED BY THE PERSON(S) WHO SIGN(S) IT.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pPr>
            <w:r>
              <w:rPr/>
              <w:t>4.</w:t>
            </w:r>
          </w:p>
        </w:tc>
        <w:tc>
          <w:tcPr>
            <w:tcW w:w="10046" w:type="dxa"/>
            <w:tcBorders/>
            <w:vAlign w:val="center"/>
          </w:tcPr>
          <w:p>
            <w:pPr>
              <w:pStyle w:val="TableContents"/>
              <w:bidi w:val="0"/>
              <w:spacing w:before="0" w:after="283"/>
              <w:jc w:val="both"/>
              <w:rPr/>
            </w:pPr>
            <w:r>
              <w:rPr>
                <w:b/>
              </w:rPr>
              <w:t>IMPORTANT: IF YOU WISH TO VOTE FOR THE RESOLUTION, TICK THE BOX MARKED “FOR”. IF YOU WISH TO VOTE AGAINST THE RESOLUTION, TICK THE BOX MARKED “AGAINST”. IF YOU WISH TO ABSTAIN FROM VOTING ON THE RESOLUTION, TICK THE BOX MARKED “ABSTAIN”</w:t>
            </w:r>
            <w:r>
              <w:rPr/>
              <w:t>. The Ordinary Shares represented by all properly executed proxies returned to the Company will be voted at the EGM as indicated or, if no instruction is given, the proxy will vote the shares in their discretion, unless a reference to the holder of the proxy having such discretion has been deleted and initialed on this Form of Proxy Card. Where the Chair acts as proxy and is entitled to exercise their discretion, they have indicated their intent to vote the shares FOR the resolutions. As to any other business that may properly come before the EGM, all properly executed proxies will be voted by the persons named therein in accordance with their discretion. Your proxy will also be entitled to vote or abstain at their discretion on any amendment to the resolutions referred to in the EGM Notice which has been properly put to the EGM.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both"/>
              <w:rPr/>
            </w:pPr>
            <w:r>
              <w:rPr/>
              <w:t>This Form of Proxy Card is for use by shareholders only and must be signed by you or your attorney duly authorized in writing or, in the case of a corporation, must be either executed under the hand of an officer or attorney duly authorized to sign the same.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both"/>
              <w:rPr/>
            </w:pPr>
            <w:r>
              <w:rPr/>
              <w:t xml:space="preserve">Whether or not you propose to attend the relevant meeting(s) in person, you are strongly advised to complete and return this Form of Proxy Card in accordance with these instructions. To be valid, this proxy card must be completed, signed and returned (together with any power of attorney or other authority under which it is signed or a notarial certified copy of that power or authority) in the postage-paid envelope we have provided or returned to Vote Processing, c/o Broadridge, 51 Mercedes Way, Edgewood, NY 11717 as soon as possible so that it is received before the Cut-off for holding the EGM, or to follow the internet and phone voting instructions as instructed elsewhere in this proxy card. Returning this completed form of proxy card will not preclude you from attending the relevant meeting(s) and voting in person if you so wish.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5.</w:t>
            </w:r>
          </w:p>
        </w:tc>
        <w:tc>
          <w:tcPr>
            <w:tcW w:w="10035" w:type="dxa"/>
            <w:tcBorders/>
            <w:vAlign w:val="center"/>
          </w:tcPr>
          <w:p>
            <w:pPr>
              <w:pStyle w:val="TableContents"/>
              <w:bidi w:val="0"/>
              <w:spacing w:before="0" w:after="283"/>
              <w:jc w:val="both"/>
              <w:rPr/>
            </w:pPr>
            <w:r>
              <w:rPr/>
              <w:t>A Special Resolution of the Company requires the approval of at least two-thirds of the votes cast by such members as, being entitled to do so, vote in person or by proxy at a general meeting. An Ordinary Resolution of the Company requires the approval of a simple majority of the votes cast by such members as, being entitled to do so, vote in person or by proxy at a general meeting.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6" w:name="ea030168601ex99-3.htm"/>
      <w:bookmarkStart w:id="7" w:name="ksea030168601ex993"/>
      <w:bookmarkEnd w:id="6"/>
      <w:bookmarkEnd w:id="7"/>
      <w:r>
        <w:rPr>
          <w:rFonts w:ascii="Times New Roman;Times;Serif" w:hAnsi="Times New Roman;Times;Serif"/>
          <w:b/>
          <w:i w:val="false"/>
          <w:caps w:val="false"/>
          <w:smallCaps w:val="false"/>
          <w:sz w:val="20"/>
        </w:rPr>
        <w:t xml:space="preserve">Exhibit 99.3 </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COMPANIES ACT (</w:t>
      </w:r>
      <w:r>
        <w:rPr>
          <w:rFonts w:ascii="Times New Roman;Times;Serif" w:hAnsi="Times New Roman;Times;Serif"/>
          <w:b/>
          <w:i w:val="false"/>
          <w:caps/>
          <w:sz w:val="20"/>
        </w:rPr>
        <w:t>Revised</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CAYMAN ISLANDS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SIXTH AMENDED AND RESTATED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MEMORANDUM AND ARTICLES OF ASSOCIATION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SAIHEAT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(ADOPTED BY SPECIAL RESOLUTION DATED [*] 2026</w:t>
        <w:br/>
        <w:t>AND EFFECTIVE AS OF [*] 2026)</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THE COMPANIES ACT (Revised)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CAYMAN ISLANDS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SIXTH AMENDED AND RESTATED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MEMORANDUM OF ASSOCIATION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SAIHEAT Limited</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(ADOPTED BY SPECIAL RESOLUTION DATED [*] 2026</w:t>
        <w:br/>
        <w:t>AND EFFECTIVE AS OF [*] 2026)</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2"/>
        <w:gridCol w:w="303"/>
        <w:gridCol w:w="9810"/>
      </w:tblGrid>
      <w:tr>
        <w:trPr/>
        <w:tc>
          <w:tcPr>
            <w:tcW w:w="9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name of the Company is </w:t>
            </w:r>
            <w:r>
              <w:rPr>
                <w:rFonts w:ascii="Times New Roman;Times;Serif" w:hAnsi="Times New Roman;Times;Serif"/>
                <w:b/>
                <w:sz w:val="20"/>
              </w:rPr>
              <w:t>SAIHEAT Limited</w:t>
            </w:r>
            <w:r>
              <w:rPr>
                <w:rFonts w:ascii="Times New Roman;Times;Serif" w:hAnsi="Times New Roman;Times;Serif"/>
                <w:sz w:val="20"/>
              </w:rPr>
              <w: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Registered Office of the Company shall be at the offices of BOLDER CORPORATE SERVICES (CAYMAN) LIMITED, 3-212 Governors Square, 23 Lime Tree Bay Avenue, P.O. Box 30746, Seven Mile Beach, Grand Cayman KY1-1203, Cayman Islands, or at such other place within the Cayman Islands as the Directors may decide.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objects for which the Company is established are unrestricted and except as prohibited or limited by the laws of the Cayman Islands, the Company shall have full power and authority to carry out any object and shall have and be capable of from time to time and at all times exercising any and all of the powers at any time or from time to time exercisable by a natural person or body corporate in any part of the world whether as principal, agent, contractor or otherwise.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will not trade in the Cayman Islands with any Person, firm or corporation except in furtherance of the business of the Company carried on outside the Cayman Islands; provided, that nothing in this section shall be construed as to prevent the Company effecting and concluding contracts in the Cayman Islands, and exercising in the Cayman Islands all of its powers necessary for the carrying on of its business outside the Cayman Islands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175"/>
        <w:gridCol w:w="9977"/>
      </w:tblGrid>
      <w:tr>
        <w:trPr/>
        <w:tc>
          <w:tcPr>
            <w:tcW w:w="5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liability of each Member is limited to the amount unpaid on such Member’s shares.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100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authorized share capital of the Company is US$35,000 divided into 22,170,225 class A ordinary shares of a par value of US$0.0015 each, 496,442 convertible class B ordinary shares of a par value of US$0.0015 each, and 666,666 preference shares of a par value of US$0.0015 each. Subject to the provisions of the Statute and the Articles, the Company has the power to redeem or purchase any of its shares and to increase or reduce the share capital and to issue any part of its capital, whether original, redeemed or increased with or without any preference, priority or special privilege or subject to any postponement of rights or to any conditions or restrictions and so that unless the conditions of issue shall otherwise expressly declare every issue of shares whether declared to be preference or otherwise shall be subject to the powers hereinbefore contained.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100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has power to register by way of continuation as a body corporate limited by shares under the laws of any jurisdiction outside the Cayman Islands and to be deregistered in the Cayman Islands.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31"/>
        <w:gridCol w:w="10035"/>
      </w:tblGrid>
      <w:tr>
        <w:trPr/>
        <w:tc>
          <w:tcPr>
            <w:tcW w:w="3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Capitalised terms that are not defined in this Memorandum bear the respective meanings given to them in the Articles.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THE COMPANIES ACT (Revised)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CAYMAN ISLANDS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SIXTH AMENDED AND RESTATED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ARTICLES OF ASSOCIATION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SAIHEAT Limited</w:t>
      </w:r>
    </w:p>
    <w:p>
      <w:pPr>
        <w:pStyle w:val="TextBody"/>
        <w:bidi w:val="0"/>
        <w:spacing w:before="0" w:after="0"/>
        <w:ind w:left="720" w:right="0" w:hanging="0"/>
        <w:jc w:val="center"/>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(ADOPTED BY SPECIAL RESOLUTION DATED [*] 2026</w:t>
        <w:br/>
        <w:t>AND EFFECTIVE AS OF [*] 2026)</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96"/>
        <w:gridCol w:w="975"/>
        <w:gridCol w:w="8934"/>
      </w:tblGrid>
      <w:tr>
        <w:trPr/>
        <w:tc>
          <w:tcPr>
            <w:tcW w:w="296"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89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Interpretation</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98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Articles Table A in the First Schedule to the Statute does not apply and, unless there is something in the subject or context inconsistent therewith, the following words shall have the following meaning:</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034"/>
        <w:gridCol w:w="9096"/>
      </w:tblGrid>
      <w:tr>
        <w:trPr/>
        <w:tc>
          <w:tcPr>
            <w:tcW w:w="75" w:type="dxa"/>
            <w:tcBorders/>
            <w:vAlign w:val="center"/>
          </w:tcPr>
          <w:p>
            <w:pPr>
              <w:pStyle w:val="TableContents"/>
              <w:bidi w:val="0"/>
              <w:spacing w:before="0" w:after="283"/>
              <w:jc w:val="left"/>
              <w:rPr/>
            </w:pPr>
            <w:r>
              <w:rPr/>
              <w:t> </w:t>
            </w:r>
          </w:p>
        </w:tc>
        <w:tc>
          <w:tcPr>
            <w:tcW w:w="1034" w:type="dxa"/>
            <w:tcBorders/>
            <w:vAlign w:val="center"/>
          </w:tcPr>
          <w:p>
            <w:pPr>
              <w:pStyle w:val="TableContents"/>
              <w:bidi w:val="0"/>
              <w:spacing w:before="0" w:after="283"/>
              <w:ind w:left="0" w:right="0" w:hanging="0"/>
              <w:jc w:val="both"/>
              <w:rPr/>
            </w:pPr>
            <w:r>
              <w:rPr/>
              <w:t>“</w:t>
            </w:r>
            <w:r>
              <w:rPr>
                <w:rFonts w:ascii="Times New Roman;Times;Serif" w:hAnsi="Times New Roman;Times;Serif"/>
                <w:b/>
                <w:sz w:val="20"/>
              </w:rPr>
              <w:t>Affiliate”</w:t>
            </w:r>
          </w:p>
        </w:tc>
        <w:tc>
          <w:tcPr>
            <w:tcW w:w="90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respect of a Person, means any other Person that, directly or indirectly, through one or more intermediaries, controls, is controlled by, or is under common control with, such Person, and (a) in the case of a natural Person, shall include, without limitation, such Person’s spouse, parents, children, siblings, mother-in-law and father-in-law and brothers and sisters-in-law, whether by blood, marriage or adoption or anyone residing in such Person’s home, a trust for the benefit of any of the foregoing, a company, partnership or any natural Person or entity wholly or jointly owned by any of the foregoing and (b) in the case of an entity, shall include a partnership, a corporation or any natural Person or entity which directly, or indirectly through one or more intermediaries, controls, is controlled by, or is under common control with, such entity.</w:t>
            </w:r>
          </w:p>
        </w:tc>
      </w:tr>
      <w:tr>
        <w:trPr/>
        <w:tc>
          <w:tcPr>
            <w:tcW w:w="75" w:type="dxa"/>
            <w:tcBorders/>
            <w:vAlign w:val="center"/>
          </w:tcPr>
          <w:p>
            <w:pPr>
              <w:pStyle w:val="TableContents"/>
              <w:bidi w:val="0"/>
              <w:spacing w:before="0" w:after="283"/>
              <w:jc w:val="left"/>
              <w:rPr/>
            </w:pPr>
            <w:r>
              <w:rPr/>
              <w:t> </w:t>
            </w:r>
          </w:p>
        </w:tc>
        <w:tc>
          <w:tcPr>
            <w:tcW w:w="1034" w:type="dxa"/>
            <w:tcBorders/>
            <w:vAlign w:val="center"/>
          </w:tcPr>
          <w:p>
            <w:pPr>
              <w:pStyle w:val="TableContents"/>
              <w:bidi w:val="0"/>
              <w:spacing w:before="0" w:after="283"/>
              <w:jc w:val="left"/>
              <w:rPr/>
            </w:pPr>
            <w:r>
              <w:rPr/>
              <w:t> </w:t>
            </w:r>
          </w:p>
        </w:tc>
        <w:tc>
          <w:tcPr>
            <w:tcW w:w="909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034" w:type="dxa"/>
            <w:tcBorders/>
            <w:vAlign w:val="center"/>
          </w:tcPr>
          <w:p>
            <w:pPr>
              <w:pStyle w:val="TableContents"/>
              <w:bidi w:val="0"/>
              <w:spacing w:before="0" w:after="283"/>
              <w:jc w:val="both"/>
              <w:rPr/>
            </w:pPr>
            <w:r>
              <w:rPr/>
              <w:t>“</w:t>
            </w:r>
            <w:r>
              <w:rPr>
                <w:rFonts w:ascii="Times New Roman;Times;Serif" w:hAnsi="Times New Roman;Times;Serif"/>
                <w:b/>
                <w:sz w:val="20"/>
              </w:rPr>
              <w:t>Applicable Law”</w:t>
            </w:r>
          </w:p>
        </w:tc>
        <w:tc>
          <w:tcPr>
            <w:tcW w:w="90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means, with respect to any Person, all provisions of laws, statutes, ordinances, rules, regulations, permits, certificates, judgments, decisions, decrees or orders of any governmental authority applicable to such Person.</w:t>
            </w:r>
          </w:p>
        </w:tc>
      </w:tr>
      <w:tr>
        <w:trPr/>
        <w:tc>
          <w:tcPr>
            <w:tcW w:w="75" w:type="dxa"/>
            <w:tcBorders/>
            <w:vAlign w:val="center"/>
          </w:tcPr>
          <w:p>
            <w:pPr>
              <w:pStyle w:val="TableContents"/>
              <w:bidi w:val="0"/>
              <w:spacing w:before="0" w:after="283"/>
              <w:jc w:val="left"/>
              <w:rPr/>
            </w:pPr>
            <w:r>
              <w:rPr/>
              <w:t> </w:t>
            </w:r>
          </w:p>
        </w:tc>
        <w:tc>
          <w:tcPr>
            <w:tcW w:w="1034" w:type="dxa"/>
            <w:tcBorders/>
            <w:vAlign w:val="center"/>
          </w:tcPr>
          <w:p>
            <w:pPr>
              <w:pStyle w:val="TableContents"/>
              <w:bidi w:val="0"/>
              <w:spacing w:before="0" w:after="283"/>
              <w:jc w:val="left"/>
              <w:rPr/>
            </w:pPr>
            <w:r>
              <w:rPr/>
              <w:t> </w:t>
            </w:r>
          </w:p>
        </w:tc>
        <w:tc>
          <w:tcPr>
            <w:tcW w:w="909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034" w:type="dxa"/>
            <w:tcBorders/>
            <w:vAlign w:val="center"/>
          </w:tcPr>
          <w:p>
            <w:pPr>
              <w:pStyle w:val="TableContents"/>
              <w:bidi w:val="0"/>
              <w:spacing w:before="0" w:after="283"/>
              <w:jc w:val="both"/>
              <w:rPr/>
            </w:pPr>
            <w:r>
              <w:rPr/>
              <w:t>“</w:t>
            </w:r>
            <w:r>
              <w:rPr>
                <w:rFonts w:ascii="Times New Roman;Times;Serif" w:hAnsi="Times New Roman;Times;Serif"/>
                <w:b/>
                <w:sz w:val="20"/>
              </w:rPr>
              <w:t>Articles”</w:t>
            </w:r>
          </w:p>
        </w:tc>
        <w:tc>
          <w:tcPr>
            <w:tcW w:w="90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means these articles of association of the Company, as amended, supplemented and/or restated from time to time.</w:t>
            </w:r>
          </w:p>
        </w:tc>
      </w:tr>
      <w:tr>
        <w:trPr/>
        <w:tc>
          <w:tcPr>
            <w:tcW w:w="75" w:type="dxa"/>
            <w:tcBorders/>
            <w:vAlign w:val="center"/>
          </w:tcPr>
          <w:p>
            <w:pPr>
              <w:pStyle w:val="TableContents"/>
              <w:bidi w:val="0"/>
              <w:spacing w:before="0" w:after="283"/>
              <w:jc w:val="left"/>
              <w:rPr/>
            </w:pPr>
            <w:r>
              <w:rPr/>
              <w:t> </w:t>
            </w:r>
          </w:p>
        </w:tc>
        <w:tc>
          <w:tcPr>
            <w:tcW w:w="1034" w:type="dxa"/>
            <w:tcBorders/>
            <w:vAlign w:val="center"/>
          </w:tcPr>
          <w:p>
            <w:pPr>
              <w:pStyle w:val="TableContents"/>
              <w:bidi w:val="0"/>
              <w:spacing w:before="0" w:after="283"/>
              <w:jc w:val="left"/>
              <w:rPr/>
            </w:pPr>
            <w:r>
              <w:rPr/>
              <w:t> </w:t>
            </w:r>
          </w:p>
        </w:tc>
        <w:tc>
          <w:tcPr>
            <w:tcW w:w="909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034" w:type="dxa"/>
            <w:tcBorders/>
            <w:vAlign w:val="center"/>
          </w:tcPr>
          <w:p>
            <w:pPr>
              <w:pStyle w:val="TableContents"/>
              <w:bidi w:val="0"/>
              <w:spacing w:before="0" w:after="283"/>
              <w:jc w:val="both"/>
              <w:rPr/>
            </w:pPr>
            <w:r>
              <w:rPr/>
              <w:t>“</w:t>
            </w:r>
            <w:r>
              <w:rPr>
                <w:rFonts w:ascii="Times New Roman;Times;Serif" w:hAnsi="Times New Roman;Times;Serif"/>
                <w:b/>
                <w:sz w:val="20"/>
              </w:rPr>
              <w:t>Audit Committee”</w:t>
            </w:r>
          </w:p>
        </w:tc>
        <w:tc>
          <w:tcPr>
            <w:tcW w:w="90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means the audit committee of the board of directors of the Company established pursuant to the Articles, or any successor committee.</w:t>
            </w:r>
          </w:p>
        </w:tc>
      </w:tr>
      <w:tr>
        <w:trPr/>
        <w:tc>
          <w:tcPr>
            <w:tcW w:w="75" w:type="dxa"/>
            <w:tcBorders/>
            <w:vAlign w:val="center"/>
          </w:tcPr>
          <w:p>
            <w:pPr>
              <w:pStyle w:val="TableContents"/>
              <w:bidi w:val="0"/>
              <w:spacing w:before="0" w:after="283"/>
              <w:jc w:val="left"/>
              <w:rPr/>
            </w:pPr>
            <w:r>
              <w:rPr/>
              <w:t> </w:t>
            </w:r>
          </w:p>
        </w:tc>
        <w:tc>
          <w:tcPr>
            <w:tcW w:w="1034" w:type="dxa"/>
            <w:tcBorders/>
            <w:vAlign w:val="center"/>
          </w:tcPr>
          <w:p>
            <w:pPr>
              <w:pStyle w:val="TableContents"/>
              <w:bidi w:val="0"/>
              <w:spacing w:before="0" w:after="283"/>
              <w:jc w:val="left"/>
              <w:rPr/>
            </w:pPr>
            <w:r>
              <w:rPr/>
              <w:t> </w:t>
            </w:r>
          </w:p>
        </w:tc>
        <w:tc>
          <w:tcPr>
            <w:tcW w:w="909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034" w:type="dxa"/>
            <w:tcBorders/>
            <w:vAlign w:val="center"/>
          </w:tcPr>
          <w:p>
            <w:pPr>
              <w:pStyle w:val="TableContents"/>
              <w:bidi w:val="0"/>
              <w:spacing w:before="0" w:after="283"/>
              <w:jc w:val="both"/>
              <w:rPr/>
            </w:pPr>
            <w:r>
              <w:rPr/>
              <w:t>“</w:t>
            </w:r>
            <w:r>
              <w:rPr>
                <w:rFonts w:ascii="Times New Roman;Times;Serif" w:hAnsi="Times New Roman;Times;Serif"/>
                <w:b/>
                <w:sz w:val="20"/>
              </w:rPr>
              <w:t>Auditor”</w:t>
            </w:r>
          </w:p>
        </w:tc>
        <w:tc>
          <w:tcPr>
            <w:tcW w:w="90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means the Person for the time being performing the duties of auditor of the Company (if any).</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91"/>
        <w:gridCol w:w="8339"/>
      </w:tblGrid>
      <w:tr>
        <w:trPr/>
        <w:tc>
          <w:tcPr>
            <w:tcW w:w="75" w:type="dxa"/>
            <w:tcBorders/>
            <w:vAlign w:val="center"/>
          </w:tcPr>
          <w:p>
            <w:pPr>
              <w:pStyle w:val="TableContents"/>
              <w:bidi w:val="0"/>
              <w:spacing w:before="0" w:after="283"/>
              <w:jc w:val="left"/>
              <w:rPr/>
            </w:pPr>
            <w:r>
              <w:rPr/>
              <w:t> </w:t>
            </w:r>
          </w:p>
        </w:tc>
        <w:tc>
          <w:tcPr>
            <w:tcW w:w="1791" w:type="dxa"/>
            <w:tcBorders/>
            <w:vAlign w:val="center"/>
          </w:tcPr>
          <w:p>
            <w:pPr>
              <w:pStyle w:val="TableContents"/>
              <w:bidi w:val="0"/>
              <w:spacing w:before="0" w:after="283"/>
              <w:jc w:val="left"/>
              <w:rPr/>
            </w:pPr>
            <w:r>
              <w:rPr/>
              <w:t>“</w:t>
            </w:r>
            <w:r>
              <w:rPr>
                <w:rFonts w:ascii="Times New Roman;Times;Serif" w:hAnsi="Times New Roman;Times;Serif"/>
                <w:b/>
                <w:sz w:val="20"/>
              </w:rPr>
              <w:t>Chairman”</w:t>
            </w:r>
          </w:p>
        </w:tc>
        <w:tc>
          <w:tcPr>
            <w:tcW w:w="83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means the chairman of the board of Directors, if any, appointed by the Directors pursuant to Article 31.7.</w:t>
            </w:r>
          </w:p>
        </w:tc>
      </w:tr>
      <w:tr>
        <w:trPr/>
        <w:tc>
          <w:tcPr>
            <w:tcW w:w="75" w:type="dxa"/>
            <w:tcBorders/>
            <w:vAlign w:val="center"/>
          </w:tcPr>
          <w:p>
            <w:pPr>
              <w:pStyle w:val="TableContents"/>
              <w:bidi w:val="0"/>
              <w:spacing w:before="0" w:after="283"/>
              <w:jc w:val="left"/>
              <w:rPr/>
            </w:pPr>
            <w:r>
              <w:rPr/>
              <w:t> </w:t>
            </w:r>
          </w:p>
        </w:tc>
        <w:tc>
          <w:tcPr>
            <w:tcW w:w="1791" w:type="dxa"/>
            <w:tcBorders/>
            <w:vAlign w:val="center"/>
          </w:tcPr>
          <w:p>
            <w:pPr>
              <w:pStyle w:val="TableContents"/>
              <w:bidi w:val="0"/>
              <w:spacing w:before="0" w:after="283"/>
              <w:jc w:val="left"/>
              <w:rPr/>
            </w:pPr>
            <w:r>
              <w:rPr/>
              <w:t> </w:t>
            </w:r>
          </w:p>
        </w:tc>
        <w:tc>
          <w:tcPr>
            <w:tcW w:w="833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91" w:type="dxa"/>
            <w:tcBorders/>
            <w:vAlign w:val="center"/>
          </w:tcPr>
          <w:p>
            <w:pPr>
              <w:pStyle w:val="TableContents"/>
              <w:bidi w:val="0"/>
              <w:spacing w:before="0" w:after="283"/>
              <w:jc w:val="left"/>
              <w:rPr/>
            </w:pPr>
            <w:r>
              <w:rPr/>
              <w:t>“</w:t>
            </w:r>
            <w:r>
              <w:rPr>
                <w:rFonts w:ascii="Times New Roman;Times;Serif" w:hAnsi="Times New Roman;Times;Serif"/>
                <w:b/>
                <w:sz w:val="20"/>
              </w:rPr>
              <w:t>Class A Share”</w:t>
            </w:r>
          </w:p>
        </w:tc>
        <w:tc>
          <w:tcPr>
            <w:tcW w:w="83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means a class A ordinary share of a par value of US$0.0015 in the share capital of the Company.</w:t>
            </w:r>
          </w:p>
        </w:tc>
      </w:tr>
      <w:tr>
        <w:trPr/>
        <w:tc>
          <w:tcPr>
            <w:tcW w:w="75" w:type="dxa"/>
            <w:tcBorders/>
            <w:vAlign w:val="center"/>
          </w:tcPr>
          <w:p>
            <w:pPr>
              <w:pStyle w:val="TableContents"/>
              <w:bidi w:val="0"/>
              <w:spacing w:before="0" w:after="283"/>
              <w:jc w:val="left"/>
              <w:rPr/>
            </w:pPr>
            <w:r>
              <w:rPr/>
              <w:t> </w:t>
            </w:r>
          </w:p>
        </w:tc>
        <w:tc>
          <w:tcPr>
            <w:tcW w:w="1791" w:type="dxa"/>
            <w:tcBorders/>
            <w:vAlign w:val="center"/>
          </w:tcPr>
          <w:p>
            <w:pPr>
              <w:pStyle w:val="TableContents"/>
              <w:bidi w:val="0"/>
              <w:spacing w:before="0" w:after="283"/>
              <w:jc w:val="left"/>
              <w:rPr/>
            </w:pPr>
            <w:r>
              <w:rPr/>
              <w:t> </w:t>
            </w:r>
          </w:p>
        </w:tc>
        <w:tc>
          <w:tcPr>
            <w:tcW w:w="833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91" w:type="dxa"/>
            <w:tcBorders/>
            <w:vAlign w:val="center"/>
          </w:tcPr>
          <w:p>
            <w:pPr>
              <w:pStyle w:val="TableContents"/>
              <w:bidi w:val="0"/>
              <w:spacing w:before="0" w:after="283"/>
              <w:jc w:val="left"/>
              <w:rPr/>
            </w:pPr>
            <w:r>
              <w:rPr/>
              <w:t>“</w:t>
            </w:r>
            <w:r>
              <w:rPr>
                <w:rFonts w:ascii="Times New Roman;Times;Serif" w:hAnsi="Times New Roman;Times;Serif"/>
                <w:b/>
                <w:sz w:val="20"/>
              </w:rPr>
              <w:t>Class B Share”</w:t>
            </w:r>
          </w:p>
        </w:tc>
        <w:tc>
          <w:tcPr>
            <w:tcW w:w="83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means a convertible class B ordinary share of a par value of US$0.0015 in the share capital of the Company.</w:t>
            </w:r>
          </w:p>
        </w:tc>
      </w:tr>
      <w:tr>
        <w:trPr/>
        <w:tc>
          <w:tcPr>
            <w:tcW w:w="75" w:type="dxa"/>
            <w:tcBorders/>
            <w:vAlign w:val="center"/>
          </w:tcPr>
          <w:p>
            <w:pPr>
              <w:pStyle w:val="TableContents"/>
              <w:bidi w:val="0"/>
              <w:spacing w:before="0" w:after="283"/>
              <w:jc w:val="left"/>
              <w:rPr/>
            </w:pPr>
            <w:r>
              <w:rPr/>
              <w:t> </w:t>
            </w:r>
          </w:p>
        </w:tc>
        <w:tc>
          <w:tcPr>
            <w:tcW w:w="1791" w:type="dxa"/>
            <w:tcBorders/>
            <w:vAlign w:val="center"/>
          </w:tcPr>
          <w:p>
            <w:pPr>
              <w:pStyle w:val="TableContents"/>
              <w:bidi w:val="0"/>
              <w:spacing w:before="0" w:after="283"/>
              <w:jc w:val="left"/>
              <w:rPr/>
            </w:pPr>
            <w:r>
              <w:rPr/>
              <w:t> </w:t>
            </w:r>
          </w:p>
        </w:tc>
        <w:tc>
          <w:tcPr>
            <w:tcW w:w="833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91" w:type="dxa"/>
            <w:tcBorders/>
            <w:vAlign w:val="center"/>
          </w:tcPr>
          <w:p>
            <w:pPr>
              <w:pStyle w:val="TableContents"/>
              <w:bidi w:val="0"/>
              <w:spacing w:before="0" w:after="283"/>
              <w:jc w:val="left"/>
              <w:rPr/>
            </w:pPr>
            <w:r>
              <w:rPr/>
              <w:t>“</w:t>
            </w:r>
            <w:r>
              <w:rPr>
                <w:rFonts w:ascii="Times New Roman;Times;Serif" w:hAnsi="Times New Roman;Times;Serif"/>
                <w:b/>
                <w:sz w:val="20"/>
              </w:rPr>
              <w:t>Class B Ordinary Shareholder”</w:t>
            </w:r>
          </w:p>
        </w:tc>
        <w:tc>
          <w:tcPr>
            <w:tcW w:w="83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means a holder of Class B Shares and any Permitted Transferee of such holder so long as such Permitted Transferee is a holder of any Class B Shares.</w:t>
            </w:r>
          </w:p>
        </w:tc>
      </w:tr>
      <w:tr>
        <w:trPr/>
        <w:tc>
          <w:tcPr>
            <w:tcW w:w="75" w:type="dxa"/>
            <w:tcBorders/>
            <w:vAlign w:val="center"/>
          </w:tcPr>
          <w:p>
            <w:pPr>
              <w:pStyle w:val="TableContents"/>
              <w:bidi w:val="0"/>
              <w:spacing w:before="0" w:after="283"/>
              <w:jc w:val="left"/>
              <w:rPr/>
            </w:pPr>
            <w:r>
              <w:rPr/>
              <w:t> </w:t>
            </w:r>
          </w:p>
        </w:tc>
        <w:tc>
          <w:tcPr>
            <w:tcW w:w="1791" w:type="dxa"/>
            <w:tcBorders/>
            <w:vAlign w:val="center"/>
          </w:tcPr>
          <w:p>
            <w:pPr>
              <w:pStyle w:val="TableContents"/>
              <w:bidi w:val="0"/>
              <w:spacing w:before="0" w:after="283"/>
              <w:jc w:val="left"/>
              <w:rPr/>
            </w:pPr>
            <w:r>
              <w:rPr/>
              <w:t> </w:t>
            </w:r>
          </w:p>
        </w:tc>
        <w:tc>
          <w:tcPr>
            <w:tcW w:w="833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91" w:type="dxa"/>
            <w:tcBorders/>
            <w:vAlign w:val="center"/>
          </w:tcPr>
          <w:p>
            <w:pPr>
              <w:pStyle w:val="TableContents"/>
              <w:bidi w:val="0"/>
              <w:spacing w:before="0" w:after="283"/>
              <w:jc w:val="left"/>
              <w:rPr/>
            </w:pPr>
            <w:r>
              <w:rPr/>
              <w:t>“</w:t>
            </w:r>
            <w:r>
              <w:rPr>
                <w:b/>
              </w:rPr>
              <w:t>Clearing House”</w:t>
            </w:r>
          </w:p>
        </w:tc>
        <w:tc>
          <w:tcPr>
            <w:tcW w:w="8339" w:type="dxa"/>
            <w:tcBorders/>
            <w:vAlign w:val="center"/>
          </w:tcPr>
          <w:p>
            <w:pPr>
              <w:pStyle w:val="TableContents"/>
              <w:bidi w:val="0"/>
              <w:spacing w:before="0" w:after="283"/>
              <w:jc w:val="both"/>
              <w:rPr/>
            </w:pPr>
            <w:r>
              <w:rPr/>
              <w:t>means a clearing house recognised by the laws of the jurisdiction in which the Shares (or depositary receipts therefor) are listed or quoted on a stock exchange or interdealer quotation system in such jurisdiction.</w:t>
            </w:r>
          </w:p>
        </w:tc>
      </w:tr>
      <w:tr>
        <w:trPr/>
        <w:tc>
          <w:tcPr>
            <w:tcW w:w="75" w:type="dxa"/>
            <w:tcBorders/>
            <w:vAlign w:val="center"/>
          </w:tcPr>
          <w:p>
            <w:pPr>
              <w:pStyle w:val="TableContents"/>
              <w:bidi w:val="0"/>
              <w:spacing w:before="0" w:after="283"/>
              <w:jc w:val="left"/>
              <w:rPr/>
            </w:pPr>
            <w:r>
              <w:rPr/>
              <w:t> </w:t>
            </w:r>
          </w:p>
        </w:tc>
        <w:tc>
          <w:tcPr>
            <w:tcW w:w="1791" w:type="dxa"/>
            <w:tcBorders/>
            <w:vAlign w:val="center"/>
          </w:tcPr>
          <w:p>
            <w:pPr>
              <w:pStyle w:val="TableContents"/>
              <w:bidi w:val="0"/>
              <w:spacing w:before="0" w:after="283"/>
              <w:jc w:val="left"/>
              <w:rPr/>
            </w:pPr>
            <w:r>
              <w:rPr/>
              <w:t> </w:t>
            </w:r>
          </w:p>
        </w:tc>
        <w:tc>
          <w:tcPr>
            <w:tcW w:w="833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91" w:type="dxa"/>
            <w:tcBorders/>
            <w:vAlign w:val="center"/>
          </w:tcPr>
          <w:p>
            <w:pPr>
              <w:pStyle w:val="TableContents"/>
              <w:bidi w:val="0"/>
              <w:spacing w:before="0" w:after="283"/>
              <w:jc w:val="left"/>
              <w:rPr/>
            </w:pPr>
            <w:r>
              <w:rPr/>
              <w:t>“</w:t>
            </w:r>
            <w:r>
              <w:rPr>
                <w:rFonts w:ascii="Times New Roman;Times;Serif" w:hAnsi="Times New Roman;Times;Serif"/>
                <w:b/>
                <w:sz w:val="20"/>
              </w:rPr>
              <w:t>Company”</w:t>
            </w:r>
          </w:p>
        </w:tc>
        <w:tc>
          <w:tcPr>
            <w:tcW w:w="83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means the above named company.</w:t>
            </w:r>
          </w:p>
        </w:tc>
      </w:tr>
      <w:tr>
        <w:trPr/>
        <w:tc>
          <w:tcPr>
            <w:tcW w:w="75" w:type="dxa"/>
            <w:tcBorders/>
            <w:vAlign w:val="center"/>
          </w:tcPr>
          <w:p>
            <w:pPr>
              <w:pStyle w:val="TableContents"/>
              <w:bidi w:val="0"/>
              <w:spacing w:before="0" w:after="283"/>
              <w:jc w:val="left"/>
              <w:rPr/>
            </w:pPr>
            <w:r>
              <w:rPr/>
              <w:t> </w:t>
            </w:r>
          </w:p>
        </w:tc>
        <w:tc>
          <w:tcPr>
            <w:tcW w:w="1791" w:type="dxa"/>
            <w:tcBorders/>
            <w:vAlign w:val="center"/>
          </w:tcPr>
          <w:p>
            <w:pPr>
              <w:pStyle w:val="TableContents"/>
              <w:bidi w:val="0"/>
              <w:spacing w:before="0" w:after="283"/>
              <w:jc w:val="left"/>
              <w:rPr/>
            </w:pPr>
            <w:r>
              <w:rPr/>
              <w:t> </w:t>
            </w:r>
          </w:p>
        </w:tc>
        <w:tc>
          <w:tcPr>
            <w:tcW w:w="833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91" w:type="dxa"/>
            <w:tcBorders/>
            <w:vAlign w:val="center"/>
          </w:tcPr>
          <w:p>
            <w:pPr>
              <w:pStyle w:val="TableContents"/>
              <w:bidi w:val="0"/>
              <w:spacing w:before="0" w:after="283"/>
              <w:jc w:val="left"/>
              <w:rPr/>
            </w:pPr>
            <w:r>
              <w:rPr/>
              <w:t>“</w:t>
            </w:r>
            <w:r>
              <w:rPr>
                <w:rFonts w:ascii="Times New Roman;Times;Serif" w:hAnsi="Times New Roman;Times;Serif"/>
                <w:b/>
                <w:sz w:val="20"/>
              </w:rPr>
              <w:t>Company’s Website”</w:t>
            </w:r>
          </w:p>
        </w:tc>
        <w:tc>
          <w:tcPr>
            <w:tcW w:w="83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means the website of the Company and/or its web-address or domain name (if any).</w:t>
            </w:r>
          </w:p>
        </w:tc>
      </w:tr>
      <w:tr>
        <w:trPr/>
        <w:tc>
          <w:tcPr>
            <w:tcW w:w="75" w:type="dxa"/>
            <w:tcBorders/>
            <w:vAlign w:val="center"/>
          </w:tcPr>
          <w:p>
            <w:pPr>
              <w:pStyle w:val="TableContents"/>
              <w:bidi w:val="0"/>
              <w:spacing w:before="0" w:after="283"/>
              <w:jc w:val="left"/>
              <w:rPr/>
            </w:pPr>
            <w:r>
              <w:rPr/>
              <w:t> </w:t>
            </w:r>
          </w:p>
        </w:tc>
        <w:tc>
          <w:tcPr>
            <w:tcW w:w="1791" w:type="dxa"/>
            <w:tcBorders/>
            <w:vAlign w:val="center"/>
          </w:tcPr>
          <w:p>
            <w:pPr>
              <w:pStyle w:val="TableContents"/>
              <w:bidi w:val="0"/>
              <w:spacing w:before="0" w:after="283"/>
              <w:jc w:val="left"/>
              <w:rPr/>
            </w:pPr>
            <w:r>
              <w:rPr/>
              <w:t> </w:t>
            </w:r>
          </w:p>
        </w:tc>
        <w:tc>
          <w:tcPr>
            <w:tcW w:w="833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91" w:type="dxa"/>
            <w:tcBorders/>
            <w:vAlign w:val="center"/>
          </w:tcPr>
          <w:p>
            <w:pPr>
              <w:pStyle w:val="TableContents"/>
              <w:bidi w:val="0"/>
              <w:spacing w:before="0" w:after="283"/>
              <w:jc w:val="left"/>
              <w:rPr/>
            </w:pPr>
            <w:r>
              <w:rPr/>
              <w:t>“</w:t>
            </w:r>
            <w:r>
              <w:rPr>
                <w:rFonts w:ascii="Times New Roman;Times;Serif" w:hAnsi="Times New Roman;Times;Serif"/>
                <w:b/>
                <w:sz w:val="20"/>
              </w:rPr>
              <w:t>Compensation Committee”</w:t>
            </w:r>
          </w:p>
        </w:tc>
        <w:tc>
          <w:tcPr>
            <w:tcW w:w="83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means the compensation committee of the board of directors of the Company established pursuant to the Articles, or any successor committee.</w:t>
            </w:r>
          </w:p>
        </w:tc>
      </w:tr>
      <w:tr>
        <w:trPr/>
        <w:tc>
          <w:tcPr>
            <w:tcW w:w="75" w:type="dxa"/>
            <w:tcBorders/>
            <w:vAlign w:val="center"/>
          </w:tcPr>
          <w:p>
            <w:pPr>
              <w:pStyle w:val="TableContents"/>
              <w:bidi w:val="0"/>
              <w:spacing w:before="0" w:after="283"/>
              <w:jc w:val="left"/>
              <w:rPr/>
            </w:pPr>
            <w:r>
              <w:rPr/>
              <w:t> </w:t>
            </w:r>
          </w:p>
        </w:tc>
        <w:tc>
          <w:tcPr>
            <w:tcW w:w="1791" w:type="dxa"/>
            <w:tcBorders/>
            <w:vAlign w:val="center"/>
          </w:tcPr>
          <w:p>
            <w:pPr>
              <w:pStyle w:val="TableContents"/>
              <w:bidi w:val="0"/>
              <w:spacing w:before="0" w:after="283"/>
              <w:jc w:val="left"/>
              <w:rPr/>
            </w:pPr>
            <w:r>
              <w:rPr/>
              <w:t> </w:t>
            </w:r>
          </w:p>
        </w:tc>
        <w:tc>
          <w:tcPr>
            <w:tcW w:w="833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91" w:type="dxa"/>
            <w:tcBorders/>
            <w:vAlign w:val="center"/>
          </w:tcPr>
          <w:p>
            <w:pPr>
              <w:pStyle w:val="TableContents"/>
              <w:bidi w:val="0"/>
              <w:spacing w:before="0" w:after="283"/>
              <w:jc w:val="left"/>
              <w:rPr/>
            </w:pPr>
            <w:r>
              <w:rPr/>
              <w:t>“</w:t>
            </w:r>
            <w:r>
              <w:rPr>
                <w:rFonts w:ascii="Times New Roman;Times;Serif" w:hAnsi="Times New Roman;Times;Serif"/>
                <w:b/>
                <w:sz w:val="20"/>
              </w:rPr>
              <w:t>Designated Stock Exchange”</w:t>
            </w:r>
          </w:p>
        </w:tc>
        <w:tc>
          <w:tcPr>
            <w:tcW w:w="83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means any United States national securities exchange on which the securities of the Company are listed for trading, including the Nasdaq Capital Market.</w:t>
            </w:r>
          </w:p>
        </w:tc>
      </w:tr>
      <w:tr>
        <w:trPr/>
        <w:tc>
          <w:tcPr>
            <w:tcW w:w="75" w:type="dxa"/>
            <w:tcBorders/>
            <w:vAlign w:val="center"/>
          </w:tcPr>
          <w:p>
            <w:pPr>
              <w:pStyle w:val="TableContents"/>
              <w:bidi w:val="0"/>
              <w:spacing w:before="0" w:after="283"/>
              <w:jc w:val="left"/>
              <w:rPr/>
            </w:pPr>
            <w:r>
              <w:rPr/>
              <w:t> </w:t>
            </w:r>
          </w:p>
        </w:tc>
        <w:tc>
          <w:tcPr>
            <w:tcW w:w="1791" w:type="dxa"/>
            <w:tcBorders/>
            <w:vAlign w:val="center"/>
          </w:tcPr>
          <w:p>
            <w:pPr>
              <w:pStyle w:val="TableContents"/>
              <w:bidi w:val="0"/>
              <w:spacing w:before="0" w:after="283"/>
              <w:jc w:val="left"/>
              <w:rPr/>
            </w:pPr>
            <w:r>
              <w:rPr/>
              <w:t> </w:t>
            </w:r>
          </w:p>
        </w:tc>
        <w:tc>
          <w:tcPr>
            <w:tcW w:w="833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91" w:type="dxa"/>
            <w:tcBorders/>
            <w:vAlign w:val="center"/>
          </w:tcPr>
          <w:p>
            <w:pPr>
              <w:pStyle w:val="TableContents"/>
              <w:bidi w:val="0"/>
              <w:spacing w:before="0" w:after="283"/>
              <w:jc w:val="left"/>
              <w:rPr/>
            </w:pPr>
            <w:r>
              <w:rPr/>
              <w:t>“</w:t>
            </w:r>
            <w:r>
              <w:rPr>
                <w:rFonts w:ascii="Times New Roman;Times;Serif" w:hAnsi="Times New Roman;Times;Serif"/>
                <w:b/>
                <w:sz w:val="20"/>
              </w:rPr>
              <w:t>Directors”</w:t>
            </w:r>
          </w:p>
        </w:tc>
        <w:tc>
          <w:tcPr>
            <w:tcW w:w="83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means the directors for the time being of the Company.</w:t>
            </w:r>
          </w:p>
        </w:tc>
      </w:tr>
      <w:tr>
        <w:trPr/>
        <w:tc>
          <w:tcPr>
            <w:tcW w:w="75" w:type="dxa"/>
            <w:tcBorders/>
            <w:vAlign w:val="center"/>
          </w:tcPr>
          <w:p>
            <w:pPr>
              <w:pStyle w:val="TableContents"/>
              <w:bidi w:val="0"/>
              <w:spacing w:before="0" w:after="283"/>
              <w:jc w:val="left"/>
              <w:rPr/>
            </w:pPr>
            <w:r>
              <w:rPr/>
              <w:t> </w:t>
            </w:r>
          </w:p>
        </w:tc>
        <w:tc>
          <w:tcPr>
            <w:tcW w:w="1791" w:type="dxa"/>
            <w:tcBorders/>
            <w:vAlign w:val="center"/>
          </w:tcPr>
          <w:p>
            <w:pPr>
              <w:pStyle w:val="TableContents"/>
              <w:bidi w:val="0"/>
              <w:spacing w:before="0" w:after="283"/>
              <w:jc w:val="left"/>
              <w:rPr/>
            </w:pPr>
            <w:r>
              <w:rPr/>
              <w:t> </w:t>
            </w:r>
          </w:p>
        </w:tc>
        <w:tc>
          <w:tcPr>
            <w:tcW w:w="833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91" w:type="dxa"/>
            <w:tcBorders/>
            <w:vAlign w:val="center"/>
          </w:tcPr>
          <w:p>
            <w:pPr>
              <w:pStyle w:val="TableContents"/>
              <w:bidi w:val="0"/>
              <w:spacing w:before="0" w:after="283"/>
              <w:jc w:val="left"/>
              <w:rPr/>
            </w:pPr>
            <w:r>
              <w:rPr/>
              <w:t>“</w:t>
            </w:r>
            <w:r>
              <w:rPr>
                <w:rFonts w:ascii="Times New Roman;Times;Serif" w:hAnsi="Times New Roman;Times;Serif"/>
                <w:b/>
                <w:sz w:val="20"/>
              </w:rPr>
              <w:t>Dividend”</w:t>
            </w:r>
          </w:p>
        </w:tc>
        <w:tc>
          <w:tcPr>
            <w:tcW w:w="83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means any dividend (whether interim or final) resolved to be paid on Shares pursuant to the Articles.</w:t>
            </w:r>
          </w:p>
        </w:tc>
      </w:tr>
      <w:tr>
        <w:trPr/>
        <w:tc>
          <w:tcPr>
            <w:tcW w:w="75" w:type="dxa"/>
            <w:tcBorders/>
            <w:vAlign w:val="center"/>
          </w:tcPr>
          <w:p>
            <w:pPr>
              <w:pStyle w:val="TableContents"/>
              <w:bidi w:val="0"/>
              <w:spacing w:before="0" w:after="283"/>
              <w:jc w:val="left"/>
              <w:rPr/>
            </w:pPr>
            <w:r>
              <w:rPr/>
              <w:t> </w:t>
            </w:r>
          </w:p>
        </w:tc>
        <w:tc>
          <w:tcPr>
            <w:tcW w:w="1791" w:type="dxa"/>
            <w:tcBorders/>
            <w:vAlign w:val="center"/>
          </w:tcPr>
          <w:p>
            <w:pPr>
              <w:pStyle w:val="TableContents"/>
              <w:bidi w:val="0"/>
              <w:spacing w:before="0" w:after="283"/>
              <w:jc w:val="left"/>
              <w:rPr/>
            </w:pPr>
            <w:r>
              <w:rPr/>
              <w:t> </w:t>
            </w:r>
          </w:p>
        </w:tc>
        <w:tc>
          <w:tcPr>
            <w:tcW w:w="833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91" w:type="dxa"/>
            <w:tcBorders/>
            <w:vAlign w:val="center"/>
          </w:tcPr>
          <w:p>
            <w:pPr>
              <w:pStyle w:val="TableContents"/>
              <w:bidi w:val="0"/>
              <w:spacing w:before="0" w:after="283"/>
              <w:jc w:val="left"/>
              <w:rPr/>
            </w:pPr>
            <w:r>
              <w:rPr/>
              <w:t>“</w:t>
            </w:r>
            <w:r>
              <w:rPr>
                <w:rFonts w:ascii="Times New Roman;Times;Serif" w:hAnsi="Times New Roman;Times;Serif"/>
                <w:b/>
                <w:sz w:val="20"/>
              </w:rPr>
              <w:t>Electronic Communication”</w:t>
            </w:r>
          </w:p>
        </w:tc>
        <w:tc>
          <w:tcPr>
            <w:tcW w:w="83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means a communication sent by electronic means, including electronic posting to the Company’s Website, transmission to any number, address or internet website (including the website of the Securities and Exchange Commission) or other electronic delivery methods as otherwise decided and approved by the Directors.</w:t>
            </w:r>
          </w:p>
        </w:tc>
      </w:tr>
      <w:tr>
        <w:trPr/>
        <w:tc>
          <w:tcPr>
            <w:tcW w:w="75" w:type="dxa"/>
            <w:tcBorders/>
            <w:vAlign w:val="center"/>
          </w:tcPr>
          <w:p>
            <w:pPr>
              <w:pStyle w:val="TableContents"/>
              <w:bidi w:val="0"/>
              <w:spacing w:before="0" w:after="283"/>
              <w:jc w:val="left"/>
              <w:rPr/>
            </w:pPr>
            <w:r>
              <w:rPr/>
              <w:t> </w:t>
            </w:r>
          </w:p>
        </w:tc>
        <w:tc>
          <w:tcPr>
            <w:tcW w:w="1791" w:type="dxa"/>
            <w:tcBorders/>
            <w:vAlign w:val="center"/>
          </w:tcPr>
          <w:p>
            <w:pPr>
              <w:pStyle w:val="TableContents"/>
              <w:bidi w:val="0"/>
              <w:spacing w:before="0" w:after="283"/>
              <w:jc w:val="left"/>
              <w:rPr/>
            </w:pPr>
            <w:r>
              <w:rPr/>
              <w:t> </w:t>
            </w:r>
          </w:p>
        </w:tc>
        <w:tc>
          <w:tcPr>
            <w:tcW w:w="833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91" w:type="dxa"/>
            <w:tcBorders/>
            <w:vAlign w:val="center"/>
          </w:tcPr>
          <w:p>
            <w:pPr>
              <w:pStyle w:val="TableContents"/>
              <w:bidi w:val="0"/>
              <w:spacing w:before="0" w:after="283"/>
              <w:jc w:val="left"/>
              <w:rPr/>
            </w:pPr>
            <w:r>
              <w:rPr/>
              <w:t>“</w:t>
            </w:r>
            <w:r>
              <w:rPr>
                <w:rFonts w:ascii="Times New Roman;Times;Serif" w:hAnsi="Times New Roman;Times;Serif"/>
                <w:b/>
                <w:sz w:val="20"/>
              </w:rPr>
              <w:t>Electronic Record”</w:t>
            </w:r>
          </w:p>
        </w:tc>
        <w:tc>
          <w:tcPr>
            <w:tcW w:w="83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has the same meaning as in the Electronic Transactions Act.</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31"/>
        <w:gridCol w:w="8399"/>
      </w:tblGrid>
      <w:tr>
        <w:trPr/>
        <w:tc>
          <w:tcPr>
            <w:tcW w:w="75" w:type="dxa"/>
            <w:tcBorders/>
            <w:vAlign w:val="center"/>
          </w:tcPr>
          <w:p>
            <w:pPr>
              <w:pStyle w:val="TableContents"/>
              <w:bidi w:val="0"/>
              <w:spacing w:before="0" w:after="283"/>
              <w:jc w:val="left"/>
              <w:rPr/>
            </w:pPr>
            <w:r>
              <w:rPr/>
              <w:t> </w:t>
            </w:r>
          </w:p>
        </w:tc>
        <w:tc>
          <w:tcPr>
            <w:tcW w:w="1731" w:type="dxa"/>
            <w:tcBorders/>
            <w:vAlign w:val="center"/>
          </w:tcPr>
          <w:p>
            <w:pPr>
              <w:pStyle w:val="TableContents"/>
              <w:bidi w:val="0"/>
              <w:spacing w:before="0" w:after="283"/>
              <w:jc w:val="left"/>
              <w:rPr/>
            </w:pPr>
            <w:r>
              <w:rPr/>
              <w:t>“</w:t>
            </w:r>
            <w:r>
              <w:rPr>
                <w:rFonts w:ascii="Times New Roman;Times;Serif" w:hAnsi="Times New Roman;Times;Serif"/>
                <w:b/>
                <w:sz w:val="20"/>
              </w:rPr>
              <w:t>Electronic Transactions Act”</w:t>
            </w:r>
          </w:p>
        </w:tc>
        <w:tc>
          <w:tcPr>
            <w:tcW w:w="83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means the Electronic Transactions Act (Revised) of the Cayman Islands.</w:t>
            </w:r>
          </w:p>
        </w:tc>
      </w:tr>
      <w:tr>
        <w:trPr/>
        <w:tc>
          <w:tcPr>
            <w:tcW w:w="75" w:type="dxa"/>
            <w:tcBorders/>
            <w:vAlign w:val="center"/>
          </w:tcPr>
          <w:p>
            <w:pPr>
              <w:pStyle w:val="TableContents"/>
              <w:bidi w:val="0"/>
              <w:spacing w:before="0" w:after="283"/>
              <w:jc w:val="left"/>
              <w:rPr/>
            </w:pPr>
            <w:r>
              <w:rPr/>
              <w:t> </w:t>
            </w:r>
          </w:p>
        </w:tc>
        <w:tc>
          <w:tcPr>
            <w:tcW w:w="1731" w:type="dxa"/>
            <w:tcBorders/>
            <w:vAlign w:val="center"/>
          </w:tcPr>
          <w:p>
            <w:pPr>
              <w:pStyle w:val="TableContents"/>
              <w:bidi w:val="0"/>
              <w:spacing w:before="0" w:after="283"/>
              <w:jc w:val="left"/>
              <w:rPr/>
            </w:pPr>
            <w:r>
              <w:rPr/>
              <w:t> </w:t>
            </w:r>
          </w:p>
        </w:tc>
        <w:tc>
          <w:tcPr>
            <w:tcW w:w="839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31" w:type="dxa"/>
            <w:tcBorders/>
            <w:vAlign w:val="center"/>
          </w:tcPr>
          <w:p>
            <w:pPr>
              <w:pStyle w:val="TableContents"/>
              <w:bidi w:val="0"/>
              <w:spacing w:before="0" w:after="283"/>
              <w:jc w:val="left"/>
              <w:rPr/>
            </w:pPr>
            <w:r>
              <w:rPr/>
              <w:t>“</w:t>
            </w:r>
            <w:r>
              <w:rPr>
                <w:rFonts w:ascii="Times New Roman;Times;Serif" w:hAnsi="Times New Roman;Times;Serif"/>
                <w:b/>
                <w:sz w:val="20"/>
              </w:rPr>
              <w:t>Exchange Act”</w:t>
            </w:r>
          </w:p>
        </w:tc>
        <w:tc>
          <w:tcPr>
            <w:tcW w:w="83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means the United States Securities Exchange Act of 1934, as amended, or any similar U.S. federal statute and the rules and regulations of the Securities and Exchange Commission thereunder, all as the same shall be in effect at the time.</w:t>
            </w:r>
          </w:p>
        </w:tc>
      </w:tr>
    </w:tbl>
    <w:p>
      <w:pPr>
        <w:pStyle w:val="TextBody"/>
        <w:bidi w:val="0"/>
        <w:spacing w:before="0" w:after="0"/>
        <w:ind w:left="0" w:right="0" w:hanging="0"/>
        <w:jc w:val="left"/>
        <w:rPr>
          <w:caps w:val="false"/>
          <w:smallCaps w:val="false"/>
        </w:rPr>
      </w:pPr>
      <w:r>
        <w:rPr>
          <w:caps w:val="false"/>
          <w:smallCaps w:val="false"/>
        </w:rPr>
        <w:t> </w:t>
      </w:r>
    </w:p>
    <w:tbl>
      <w:tblPr>
        <w:tblW w:w="6025" w:type="dxa"/>
        <w:jc w:val="left"/>
        <w:tblInd w:w="0" w:type="dxa"/>
        <w:tblLayout w:type="fixed"/>
        <w:tblCellMar>
          <w:top w:w="0" w:type="dxa"/>
          <w:left w:w="0" w:type="dxa"/>
          <w:bottom w:w="0" w:type="dxa"/>
          <w:right w:w="0" w:type="dxa"/>
        </w:tblCellMar>
      </w:tblPr>
      <w:tblGrid>
        <w:gridCol w:w="75"/>
        <w:gridCol w:w="1685"/>
        <w:gridCol w:w="4265"/>
      </w:tblGrid>
      <w:tr>
        <w:trPr/>
        <w:tc>
          <w:tcPr>
            <w:tcW w:w="75"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left"/>
              <w:rPr/>
            </w:pPr>
            <w:r>
              <w:rPr/>
              <w:t>“</w:t>
            </w:r>
            <w:r>
              <w:rPr>
                <w:rFonts w:ascii="Times New Roman;Times;Serif" w:hAnsi="Times New Roman;Times;Serif"/>
                <w:b/>
                <w:sz w:val="20"/>
              </w:rPr>
              <w:t>Family Members”</w:t>
            </w:r>
          </w:p>
        </w:tc>
        <w:tc>
          <w:tcPr>
            <w:tcW w:w="42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means and includes only the following individuals: </w:t>
            </w:r>
          </w:p>
        </w:tc>
      </w:tr>
    </w:tbl>
    <w:p>
      <w:pPr>
        <w:pStyle w:val="TextBody"/>
        <w:bidi w:val="0"/>
        <w:spacing w:before="0" w:after="0"/>
        <w:ind w:left="0" w:right="0" w:hanging="0"/>
        <w:jc w:val="left"/>
        <w:rPr>
          <w:caps w:val="false"/>
          <w:smallCaps w:val="false"/>
        </w:rPr>
      </w:pPr>
      <w:r>
        <w:rPr>
          <w:caps w:val="false"/>
          <w:smallCaps w:val="false"/>
        </w:rPr>
        <w:t> </w:t>
      </w:r>
    </w:p>
    <w:tbl>
      <w:tblPr>
        <w:tblW w:w="8260" w:type="dxa"/>
        <w:jc w:val="left"/>
        <w:tblInd w:w="0" w:type="dxa"/>
        <w:tblLayout w:type="fixed"/>
        <w:tblCellMar>
          <w:top w:w="0" w:type="dxa"/>
          <w:left w:w="0" w:type="dxa"/>
          <w:bottom w:w="0" w:type="dxa"/>
          <w:right w:w="0" w:type="dxa"/>
        </w:tblCellMar>
      </w:tblPr>
      <w:tblGrid>
        <w:gridCol w:w="75"/>
        <w:gridCol w:w="245"/>
        <w:gridCol w:w="794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79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the applicable individual; </w:t>
            </w:r>
          </w:p>
        </w:tc>
      </w:tr>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79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79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the spouse of the applicable individual (including former spouses); </w:t>
            </w:r>
          </w:p>
        </w:tc>
      </w:tr>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79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79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parents of the applicable individual;</w:t>
            </w:r>
          </w:p>
        </w:tc>
      </w:tr>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79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79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the lineal descendants of the applicable individual, the siblings of the applicable individual; and </w:t>
            </w:r>
          </w:p>
        </w:tc>
      </w:tr>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79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79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lineal descendants of a sibling of the applicable individual.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
        <w:gridCol w:w="1007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purposes of the preceding clauses (a) to (e), the descendants of any individual shall include adopted individuals and their issue but only if the adopted individual was adopted prior to attaining age eighteen.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33"/>
        <w:gridCol w:w="8797"/>
      </w:tblGrid>
      <w:tr>
        <w:trPr/>
        <w:tc>
          <w:tcPr>
            <w:tcW w:w="75" w:type="dxa"/>
            <w:tcBorders/>
            <w:vAlign w:val="center"/>
          </w:tcPr>
          <w:p>
            <w:pPr>
              <w:pStyle w:val="TableContents"/>
              <w:bidi w:val="0"/>
              <w:spacing w:before="0" w:after="283"/>
              <w:jc w:val="left"/>
              <w:rPr/>
            </w:pPr>
            <w:r>
              <w:rPr/>
              <w:t> </w:t>
            </w:r>
          </w:p>
        </w:tc>
        <w:tc>
          <w:tcPr>
            <w:tcW w:w="1333" w:type="dxa"/>
            <w:tcBorders/>
            <w:vAlign w:val="center"/>
          </w:tcPr>
          <w:p>
            <w:pPr>
              <w:pStyle w:val="TableContents"/>
              <w:bidi w:val="0"/>
              <w:spacing w:before="0" w:after="283"/>
              <w:jc w:val="left"/>
              <w:rPr/>
            </w:pPr>
            <w:r>
              <w:rPr/>
              <w:t>“</w:t>
            </w:r>
            <w:r>
              <w:rPr>
                <w:rFonts w:ascii="Times New Roman;Times;Serif" w:hAnsi="Times New Roman;Times;Serif"/>
                <w:b/>
                <w:sz w:val="20"/>
              </w:rPr>
              <w:t>Incapacity”</w:t>
            </w:r>
          </w:p>
        </w:tc>
        <w:tc>
          <w:tcPr>
            <w:tcW w:w="87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means, with respect to an individual, the permanent and total disability of such individual so that such individual is unable to engage in any substantial gainful activity by reason of any medically determinable mental impairment which can be expected to result in death or which has lasted or can be expected to last for a continuous period of not less than twelve (12) months as determined by a licensed medical practitioner. In the event of a dispute regarding whether an individual has suffered an Incapacity, no Incapacity of such individual will be deemed to have occurred unless and until an affirmative ruling regarding such Incapacity has been made by a court or arbitral panel of competent jurisdiction, and such ruling has become final and non-appealable.</w:t>
            </w:r>
          </w:p>
        </w:tc>
      </w:tr>
      <w:tr>
        <w:trPr/>
        <w:tc>
          <w:tcPr>
            <w:tcW w:w="75" w:type="dxa"/>
            <w:tcBorders/>
            <w:vAlign w:val="center"/>
          </w:tcPr>
          <w:p>
            <w:pPr>
              <w:pStyle w:val="TableContents"/>
              <w:bidi w:val="0"/>
              <w:spacing w:before="0" w:after="283"/>
              <w:jc w:val="left"/>
              <w:rPr/>
            </w:pPr>
            <w:r>
              <w:rPr/>
              <w:t> </w:t>
            </w:r>
          </w:p>
        </w:tc>
        <w:tc>
          <w:tcPr>
            <w:tcW w:w="1333" w:type="dxa"/>
            <w:tcBorders/>
            <w:vAlign w:val="center"/>
          </w:tcPr>
          <w:p>
            <w:pPr>
              <w:pStyle w:val="TableContents"/>
              <w:bidi w:val="0"/>
              <w:spacing w:before="0" w:after="283"/>
              <w:jc w:val="left"/>
              <w:rPr/>
            </w:pPr>
            <w:r>
              <w:rPr/>
              <w:t> </w:t>
            </w:r>
          </w:p>
        </w:tc>
        <w:tc>
          <w:tcPr>
            <w:tcW w:w="879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3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Independent Director”</w:t>
            </w:r>
          </w:p>
        </w:tc>
        <w:tc>
          <w:tcPr>
            <w:tcW w:w="879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has the same meaning as in the rules and regulations of the Designated Stock Exchange or in Rule 10A-3 under the Exchange Act, as the case may be. </w:t>
            </w:r>
          </w:p>
        </w:tc>
      </w:tr>
      <w:tr>
        <w:trPr/>
        <w:tc>
          <w:tcPr>
            <w:tcW w:w="75" w:type="dxa"/>
            <w:tcBorders/>
            <w:vAlign w:val="center"/>
          </w:tcPr>
          <w:p>
            <w:pPr>
              <w:pStyle w:val="TableContents"/>
              <w:bidi w:val="0"/>
              <w:spacing w:before="0" w:after="283"/>
              <w:jc w:val="left"/>
              <w:rPr/>
            </w:pPr>
            <w:r>
              <w:rPr/>
              <w:t> </w:t>
            </w:r>
          </w:p>
        </w:tc>
        <w:tc>
          <w:tcPr>
            <w:tcW w:w="1333" w:type="dxa"/>
            <w:tcBorders/>
            <w:vAlign w:val="center"/>
          </w:tcPr>
          <w:p>
            <w:pPr>
              <w:pStyle w:val="TableContents"/>
              <w:bidi w:val="0"/>
              <w:spacing w:before="0" w:after="283"/>
              <w:jc w:val="left"/>
              <w:rPr/>
            </w:pPr>
            <w:r>
              <w:rPr/>
              <w:t> </w:t>
            </w:r>
          </w:p>
        </w:tc>
        <w:tc>
          <w:tcPr>
            <w:tcW w:w="879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333" w:type="dxa"/>
            <w:tcBorders/>
            <w:vAlign w:val="center"/>
          </w:tcPr>
          <w:p>
            <w:pPr>
              <w:pStyle w:val="TableContents"/>
              <w:bidi w:val="0"/>
              <w:spacing w:before="0" w:after="283"/>
              <w:jc w:val="left"/>
              <w:rPr/>
            </w:pPr>
            <w:r>
              <w:rPr/>
              <w:t>“</w:t>
            </w:r>
            <w:r>
              <w:rPr>
                <w:rFonts w:ascii="Times New Roman;Times;Serif" w:hAnsi="Times New Roman;Times;Serif"/>
                <w:b/>
                <w:sz w:val="20"/>
              </w:rPr>
              <w:t>Member”</w:t>
            </w:r>
          </w:p>
        </w:tc>
        <w:tc>
          <w:tcPr>
            <w:tcW w:w="87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has the same meaning as in the Statute.</w:t>
            </w:r>
          </w:p>
        </w:tc>
      </w:tr>
      <w:tr>
        <w:trPr/>
        <w:tc>
          <w:tcPr>
            <w:tcW w:w="75" w:type="dxa"/>
            <w:tcBorders/>
            <w:vAlign w:val="center"/>
          </w:tcPr>
          <w:p>
            <w:pPr>
              <w:pStyle w:val="TableContents"/>
              <w:bidi w:val="0"/>
              <w:spacing w:before="0" w:after="283"/>
              <w:jc w:val="left"/>
              <w:rPr/>
            </w:pPr>
            <w:r>
              <w:rPr/>
              <w:t> </w:t>
            </w:r>
          </w:p>
        </w:tc>
        <w:tc>
          <w:tcPr>
            <w:tcW w:w="1333" w:type="dxa"/>
            <w:tcBorders/>
            <w:vAlign w:val="center"/>
          </w:tcPr>
          <w:p>
            <w:pPr>
              <w:pStyle w:val="TableContents"/>
              <w:bidi w:val="0"/>
              <w:spacing w:before="0" w:after="283"/>
              <w:jc w:val="left"/>
              <w:rPr/>
            </w:pPr>
            <w:r>
              <w:rPr/>
              <w:t> </w:t>
            </w:r>
          </w:p>
        </w:tc>
        <w:tc>
          <w:tcPr>
            <w:tcW w:w="879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333" w:type="dxa"/>
            <w:tcBorders/>
            <w:vAlign w:val="center"/>
          </w:tcPr>
          <w:p>
            <w:pPr>
              <w:pStyle w:val="TableContents"/>
              <w:bidi w:val="0"/>
              <w:spacing w:before="0" w:after="283"/>
              <w:jc w:val="left"/>
              <w:rPr/>
            </w:pPr>
            <w:r>
              <w:rPr/>
              <w:t>“</w:t>
            </w:r>
            <w:r>
              <w:rPr>
                <w:rFonts w:ascii="Times New Roman;Times;Serif" w:hAnsi="Times New Roman;Times;Serif"/>
                <w:b/>
                <w:sz w:val="20"/>
              </w:rPr>
              <w:t>Memorandum”</w:t>
            </w:r>
          </w:p>
        </w:tc>
        <w:tc>
          <w:tcPr>
            <w:tcW w:w="87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means the memorandum of association of the Company, as amended, supplemented and/or restated from time to time.</w:t>
            </w:r>
          </w:p>
        </w:tc>
      </w:tr>
      <w:tr>
        <w:trPr/>
        <w:tc>
          <w:tcPr>
            <w:tcW w:w="75" w:type="dxa"/>
            <w:tcBorders/>
            <w:vAlign w:val="center"/>
          </w:tcPr>
          <w:p>
            <w:pPr>
              <w:pStyle w:val="TableContents"/>
              <w:bidi w:val="0"/>
              <w:spacing w:before="0" w:after="283"/>
              <w:jc w:val="left"/>
              <w:rPr/>
            </w:pPr>
            <w:r>
              <w:rPr/>
              <w:t> </w:t>
            </w:r>
          </w:p>
        </w:tc>
        <w:tc>
          <w:tcPr>
            <w:tcW w:w="1333" w:type="dxa"/>
            <w:tcBorders/>
            <w:vAlign w:val="center"/>
          </w:tcPr>
          <w:p>
            <w:pPr>
              <w:pStyle w:val="TableContents"/>
              <w:bidi w:val="0"/>
              <w:spacing w:before="0" w:after="283"/>
              <w:jc w:val="left"/>
              <w:rPr/>
            </w:pPr>
            <w:r>
              <w:rPr/>
              <w:t> </w:t>
            </w:r>
          </w:p>
        </w:tc>
        <w:tc>
          <w:tcPr>
            <w:tcW w:w="879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333" w:type="dxa"/>
            <w:tcBorders/>
            <w:vAlign w:val="center"/>
          </w:tcPr>
          <w:p>
            <w:pPr>
              <w:pStyle w:val="TableContents"/>
              <w:bidi w:val="0"/>
              <w:spacing w:before="0" w:after="283"/>
              <w:jc w:val="left"/>
              <w:rPr/>
            </w:pPr>
            <w:r>
              <w:rPr/>
              <w:t>“</w:t>
            </w:r>
            <w:r>
              <w:rPr>
                <w:rFonts w:ascii="Times New Roman;Times;Serif" w:hAnsi="Times New Roman;Times;Serif"/>
                <w:b/>
                <w:sz w:val="20"/>
              </w:rPr>
              <w:t>Merger Agreement”</w:t>
            </w:r>
          </w:p>
        </w:tc>
        <w:tc>
          <w:tcPr>
            <w:tcW w:w="87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means the Agreement and Plan of Merger entered into by and among the Company, Saiheat Merger Sub, Inc., Canopy Wave Inc., Taoyue (Tao) Zhang and Chunyi (James) Liao, dated as of August 10,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63"/>
        <w:gridCol w:w="8167"/>
      </w:tblGrid>
      <w:tr>
        <w:trPr/>
        <w:tc>
          <w:tcPr>
            <w:tcW w:w="75" w:type="dxa"/>
            <w:tcBorders/>
            <w:vAlign w:val="center"/>
          </w:tcPr>
          <w:p>
            <w:pPr>
              <w:pStyle w:val="TableContents"/>
              <w:bidi w:val="0"/>
              <w:spacing w:before="0" w:after="283"/>
              <w:jc w:val="left"/>
              <w:rPr/>
            </w:pPr>
            <w:r>
              <w:rPr/>
              <w:t> </w:t>
            </w:r>
          </w:p>
        </w:tc>
        <w:tc>
          <w:tcPr>
            <w:tcW w:w="1963" w:type="dxa"/>
            <w:tcBorders/>
            <w:vAlign w:val="center"/>
          </w:tcPr>
          <w:p>
            <w:pPr>
              <w:pStyle w:val="TableContents"/>
              <w:bidi w:val="0"/>
              <w:spacing w:before="0" w:after="283"/>
              <w:jc w:val="left"/>
              <w:rPr/>
            </w:pPr>
            <w:r>
              <w:rPr/>
              <w:t>“</w:t>
            </w:r>
            <w:r>
              <w:rPr>
                <w:rFonts w:ascii="Times New Roman;Times;Serif" w:hAnsi="Times New Roman;Times;Serif"/>
                <w:b/>
                <w:sz w:val="20"/>
              </w:rPr>
              <w:t>Nominating and Corporate Governance Committee”</w:t>
            </w:r>
          </w:p>
        </w:tc>
        <w:tc>
          <w:tcPr>
            <w:tcW w:w="81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means the nominating and corporate governance committee of the board of directors of the Company established pursuant to the Articles, or any successor committee.</w:t>
            </w:r>
          </w:p>
        </w:tc>
      </w:tr>
      <w:tr>
        <w:trPr/>
        <w:tc>
          <w:tcPr>
            <w:tcW w:w="75" w:type="dxa"/>
            <w:tcBorders/>
            <w:vAlign w:val="center"/>
          </w:tcPr>
          <w:p>
            <w:pPr>
              <w:pStyle w:val="TableContents"/>
              <w:bidi w:val="0"/>
              <w:spacing w:before="0" w:after="283"/>
              <w:jc w:val="left"/>
              <w:rPr/>
            </w:pPr>
            <w:r>
              <w:rPr/>
              <w:t> </w:t>
            </w:r>
          </w:p>
        </w:tc>
        <w:tc>
          <w:tcPr>
            <w:tcW w:w="1963" w:type="dxa"/>
            <w:tcBorders/>
            <w:vAlign w:val="center"/>
          </w:tcPr>
          <w:p>
            <w:pPr>
              <w:pStyle w:val="TableContents"/>
              <w:bidi w:val="0"/>
              <w:spacing w:before="0" w:after="283"/>
              <w:jc w:val="left"/>
              <w:rPr/>
            </w:pPr>
            <w:r>
              <w:rPr/>
              <w:t> </w:t>
            </w:r>
          </w:p>
        </w:tc>
        <w:tc>
          <w:tcPr>
            <w:tcW w:w="816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963" w:type="dxa"/>
            <w:tcBorders/>
            <w:vAlign w:val="center"/>
          </w:tcPr>
          <w:p>
            <w:pPr>
              <w:pStyle w:val="TableContents"/>
              <w:bidi w:val="0"/>
              <w:spacing w:before="0" w:after="283"/>
              <w:jc w:val="left"/>
              <w:rPr/>
            </w:pPr>
            <w:r>
              <w:rPr/>
              <w:t>“</w:t>
            </w:r>
            <w:r>
              <w:rPr>
                <w:rFonts w:ascii="Times New Roman;Times;Serif" w:hAnsi="Times New Roman;Times;Serif"/>
                <w:b/>
                <w:sz w:val="20"/>
              </w:rPr>
              <w:t>Officer”</w:t>
            </w:r>
          </w:p>
        </w:tc>
        <w:tc>
          <w:tcPr>
            <w:tcW w:w="81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means a Person appointed to hold an office in the Company.</w:t>
            </w:r>
          </w:p>
        </w:tc>
      </w:tr>
      <w:tr>
        <w:trPr/>
        <w:tc>
          <w:tcPr>
            <w:tcW w:w="75" w:type="dxa"/>
            <w:tcBorders/>
            <w:vAlign w:val="center"/>
          </w:tcPr>
          <w:p>
            <w:pPr>
              <w:pStyle w:val="TableContents"/>
              <w:bidi w:val="0"/>
              <w:spacing w:before="0" w:after="283"/>
              <w:jc w:val="left"/>
              <w:rPr/>
            </w:pPr>
            <w:r>
              <w:rPr/>
              <w:t> </w:t>
            </w:r>
          </w:p>
        </w:tc>
        <w:tc>
          <w:tcPr>
            <w:tcW w:w="1963" w:type="dxa"/>
            <w:tcBorders/>
            <w:vAlign w:val="center"/>
          </w:tcPr>
          <w:p>
            <w:pPr>
              <w:pStyle w:val="TableContents"/>
              <w:bidi w:val="0"/>
              <w:spacing w:before="0" w:after="283"/>
              <w:jc w:val="left"/>
              <w:rPr/>
            </w:pPr>
            <w:r>
              <w:rPr/>
              <w:t> </w:t>
            </w:r>
          </w:p>
        </w:tc>
        <w:tc>
          <w:tcPr>
            <w:tcW w:w="816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963" w:type="dxa"/>
            <w:tcBorders/>
            <w:vAlign w:val="center"/>
          </w:tcPr>
          <w:p>
            <w:pPr>
              <w:pStyle w:val="TableContents"/>
              <w:bidi w:val="0"/>
              <w:spacing w:before="0" w:after="283"/>
              <w:jc w:val="left"/>
              <w:rPr/>
            </w:pPr>
            <w:r>
              <w:rPr/>
              <w:t>“</w:t>
            </w:r>
            <w:r>
              <w:rPr>
                <w:rFonts w:ascii="Times New Roman;Times;Serif" w:hAnsi="Times New Roman;Times;Serif"/>
                <w:b/>
                <w:sz w:val="20"/>
              </w:rPr>
              <w:t>Ordinary Resolution”</w:t>
            </w:r>
          </w:p>
        </w:tc>
        <w:tc>
          <w:tcPr>
            <w:tcW w:w="81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means a resolution passed by a simple majority of the Members as, being entitled to do so, vote in Person or, where proxies are allowed, by proxy at a general meeting, and includes a unanimous written resolution. In computing the majority when a poll is demanded regard shall be had to the number of votes to which each Member is entitled by the Articles.</w:t>
            </w:r>
          </w:p>
        </w:tc>
      </w:tr>
      <w:tr>
        <w:trPr/>
        <w:tc>
          <w:tcPr>
            <w:tcW w:w="75" w:type="dxa"/>
            <w:tcBorders/>
            <w:vAlign w:val="center"/>
          </w:tcPr>
          <w:p>
            <w:pPr>
              <w:pStyle w:val="TableContents"/>
              <w:bidi w:val="0"/>
              <w:spacing w:before="0" w:after="283"/>
              <w:jc w:val="left"/>
              <w:rPr/>
            </w:pPr>
            <w:r>
              <w:rPr/>
              <w:t> </w:t>
            </w:r>
          </w:p>
        </w:tc>
        <w:tc>
          <w:tcPr>
            <w:tcW w:w="1963" w:type="dxa"/>
            <w:tcBorders/>
            <w:vAlign w:val="center"/>
          </w:tcPr>
          <w:p>
            <w:pPr>
              <w:pStyle w:val="TableContents"/>
              <w:bidi w:val="0"/>
              <w:spacing w:before="0" w:after="283"/>
              <w:jc w:val="left"/>
              <w:rPr/>
            </w:pPr>
            <w:r>
              <w:rPr/>
              <w:t> </w:t>
            </w:r>
          </w:p>
        </w:tc>
        <w:tc>
          <w:tcPr>
            <w:tcW w:w="816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963" w:type="dxa"/>
            <w:tcBorders/>
            <w:vAlign w:val="center"/>
          </w:tcPr>
          <w:p>
            <w:pPr>
              <w:pStyle w:val="TableContents"/>
              <w:bidi w:val="0"/>
              <w:spacing w:before="0" w:after="283"/>
              <w:jc w:val="left"/>
              <w:rPr/>
            </w:pPr>
            <w:r>
              <w:rPr/>
              <w:t>“</w:t>
            </w:r>
            <w:r>
              <w:rPr>
                <w:rFonts w:ascii="Times New Roman;Times;Serif" w:hAnsi="Times New Roman;Times;Serif"/>
                <w:b/>
                <w:sz w:val="20"/>
              </w:rPr>
              <w:t>Ordinary Shares”</w:t>
            </w:r>
          </w:p>
        </w:tc>
        <w:tc>
          <w:tcPr>
            <w:tcW w:w="81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means, collectively, the Class A Shares and the Class B Shares.</w:t>
            </w:r>
          </w:p>
        </w:tc>
      </w:tr>
    </w:tbl>
    <w:p>
      <w:pPr>
        <w:pStyle w:val="TextBody"/>
        <w:bidi w:val="0"/>
        <w:spacing w:before="0" w:after="0"/>
        <w:ind w:left="0" w:right="0" w:hanging="0"/>
        <w:jc w:val="left"/>
        <w:rPr>
          <w:caps w:val="false"/>
          <w:smallCaps w:val="false"/>
        </w:rPr>
      </w:pPr>
      <w:r>
        <w:rPr>
          <w:caps w:val="false"/>
          <w:smallCaps w:val="false"/>
        </w:rPr>
        <w:t> </w:t>
      </w:r>
    </w:p>
    <w:tbl>
      <w:tblPr>
        <w:tblW w:w="4675" w:type="dxa"/>
        <w:jc w:val="left"/>
        <w:tblInd w:w="0" w:type="dxa"/>
        <w:tblLayout w:type="fixed"/>
        <w:tblCellMar>
          <w:top w:w="0" w:type="dxa"/>
          <w:left w:w="0" w:type="dxa"/>
          <w:bottom w:w="0" w:type="dxa"/>
          <w:right w:w="0" w:type="dxa"/>
        </w:tblCellMar>
      </w:tblPr>
      <w:tblGrid>
        <w:gridCol w:w="75"/>
        <w:gridCol w:w="1640"/>
        <w:gridCol w:w="2960"/>
      </w:tblGrid>
      <w:tr>
        <w:trPr/>
        <w:tc>
          <w:tcPr>
            <w:tcW w:w="75"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w:t>
            </w:r>
            <w:r>
              <w:rPr>
                <w:rFonts w:ascii="Times New Roman;Times;Serif" w:hAnsi="Times New Roman;Times;Serif"/>
                <w:b/>
                <w:sz w:val="20"/>
              </w:rPr>
              <w:t>Permitted Entity”</w:t>
            </w:r>
          </w:p>
        </w:tc>
        <w:tc>
          <w:tcPr>
            <w:tcW w:w="2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means with respect to each Sponsor:</w:t>
            </w:r>
          </w:p>
        </w:tc>
      </w:tr>
    </w:tbl>
    <w:p>
      <w:pPr>
        <w:pStyle w:val="TextBody"/>
        <w:bidi w:val="0"/>
        <w:spacing w:before="0" w:after="0"/>
        <w:ind w:left="0" w:right="0" w:hanging="0"/>
        <w:jc w:val="left"/>
        <w:rPr>
          <w:caps w:val="false"/>
          <w:smallCaps w:val="false"/>
        </w:rPr>
      </w:pPr>
      <w:r>
        <w:rPr>
          <w:caps w:val="false"/>
          <w:smallCaps w:val="false"/>
        </w:rPr>
        <w:t> </w:t>
      </w:r>
    </w:p>
    <w:tbl>
      <w:tblPr>
        <w:tblW w:w="6070" w:type="dxa"/>
        <w:jc w:val="left"/>
        <w:tblInd w:w="0" w:type="dxa"/>
        <w:tblLayout w:type="fixed"/>
        <w:tblCellMar>
          <w:top w:w="0" w:type="dxa"/>
          <w:left w:w="0" w:type="dxa"/>
          <w:bottom w:w="0" w:type="dxa"/>
          <w:right w:w="0" w:type="dxa"/>
        </w:tblCellMar>
      </w:tblPr>
      <w:tblGrid>
        <w:gridCol w:w="75"/>
        <w:gridCol w:w="230"/>
        <w:gridCol w:w="57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57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Person in respect of which such Sponsor has, directly or indirectly: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88"/>
        <w:gridCol w:w="9842"/>
      </w:tblGrid>
      <w:tr>
        <w:trPr/>
        <w:tc>
          <w:tcPr>
            <w:tcW w:w="75"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8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control with respect to the voting of all the Class B Shares held or to be transferred to such Person; </w:t>
            </w:r>
          </w:p>
        </w:tc>
      </w:tr>
      <w:tr>
        <w:trPr/>
        <w:tc>
          <w:tcPr>
            <w:tcW w:w="75"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c>
          <w:tcPr>
            <w:tcW w:w="984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8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ability to direct or cause the direction of management and policies of such Person or any other Person having the authority referred to in the preceding clause (a)(i) (whether by contract, as executor, trustee, trust protector or otherwise); or</w:t>
            </w:r>
          </w:p>
        </w:tc>
      </w:tr>
      <w:tr>
        <w:trPr/>
        <w:tc>
          <w:tcPr>
            <w:tcW w:w="75"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c>
          <w:tcPr>
            <w:tcW w:w="984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operational or practical control of such Person, including the right to appoint, designate, remove or replace the Person having the authority referred to in the preceding clauses (a)(i) or (ii) above;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8"/>
        <w:gridCol w:w="9902"/>
      </w:tblGrid>
      <w:tr>
        <w:trPr/>
        <w:tc>
          <w:tcPr>
            <w:tcW w:w="75"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trust the beneficiaries of which consist primarily of such Sponsor, his Family Members, and/or any Persons controlled directly or indirectly by such a trust; and</w:t>
            </w:r>
          </w:p>
        </w:tc>
      </w:tr>
      <w:tr>
        <w:trPr/>
        <w:tc>
          <w:tcPr>
            <w:tcW w:w="75"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990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Person designated by such Sponsor in writing as a Permitted Entity.</w:t>
            </w:r>
          </w:p>
        </w:tc>
      </w:tr>
    </w:tbl>
    <w:p>
      <w:pPr>
        <w:pStyle w:val="TextBody"/>
        <w:bidi w:val="0"/>
        <w:spacing w:before="0" w:after="0"/>
        <w:ind w:left="0" w:right="0" w:hanging="0"/>
        <w:jc w:val="left"/>
        <w:rPr>
          <w:caps w:val="false"/>
          <w:smallCaps w:val="false"/>
        </w:rPr>
      </w:pPr>
      <w:r>
        <w:rPr>
          <w:caps w:val="false"/>
          <w:smallCaps w:val="false"/>
        </w:rPr>
        <w:t> </w:t>
      </w:r>
    </w:p>
    <w:tbl>
      <w:tblPr>
        <w:tblW w:w="9070" w:type="dxa"/>
        <w:jc w:val="left"/>
        <w:tblInd w:w="0" w:type="dxa"/>
        <w:tblLayout w:type="fixed"/>
        <w:tblCellMar>
          <w:top w:w="0" w:type="dxa"/>
          <w:left w:w="0" w:type="dxa"/>
          <w:bottom w:w="0" w:type="dxa"/>
          <w:right w:w="0" w:type="dxa"/>
        </w:tblCellMar>
      </w:tblPr>
      <w:tblGrid>
        <w:gridCol w:w="75"/>
        <w:gridCol w:w="2045"/>
        <w:gridCol w:w="6950"/>
      </w:tblGrid>
      <w:tr>
        <w:trPr/>
        <w:tc>
          <w:tcPr>
            <w:tcW w:w="75"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pPr>
            <w:r>
              <w:rPr/>
              <w:t>“</w:t>
            </w:r>
            <w:r>
              <w:rPr>
                <w:rFonts w:ascii="Times New Roman;Times;Serif" w:hAnsi="Times New Roman;Times;Serif"/>
                <w:b/>
                <w:sz w:val="20"/>
              </w:rPr>
              <w:t>Permitted Transferee”</w:t>
            </w:r>
          </w:p>
        </w:tc>
        <w:tc>
          <w:tcPr>
            <w:tcW w:w="69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means, with respect to the Class B Ordinary Shareholders, any or all of the following: </w:t>
            </w:r>
          </w:p>
        </w:tc>
      </w:tr>
    </w:tbl>
    <w:p>
      <w:pPr>
        <w:pStyle w:val="TextBody"/>
        <w:bidi w:val="0"/>
        <w:spacing w:before="0" w:after="0"/>
        <w:ind w:left="0" w:right="0" w:hanging="0"/>
        <w:jc w:val="left"/>
        <w:rPr>
          <w:caps w:val="false"/>
          <w:smallCaps w:val="false"/>
        </w:rPr>
      </w:pPr>
      <w:r>
        <w:rPr>
          <w:caps w:val="false"/>
          <w:smallCaps w:val="false"/>
        </w:rPr>
        <w:t> </w:t>
      </w:r>
    </w:p>
    <w:tbl>
      <w:tblPr>
        <w:tblW w:w="2215" w:type="dxa"/>
        <w:jc w:val="left"/>
        <w:tblInd w:w="0" w:type="dxa"/>
        <w:tblLayout w:type="fixed"/>
        <w:tblCellMar>
          <w:top w:w="0" w:type="dxa"/>
          <w:left w:w="0" w:type="dxa"/>
          <w:bottom w:w="0" w:type="dxa"/>
          <w:right w:w="0" w:type="dxa"/>
        </w:tblCellMar>
      </w:tblPr>
      <w:tblGrid>
        <w:gridCol w:w="75"/>
        <w:gridCol w:w="245"/>
        <w:gridCol w:w="189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895" w:type="dxa"/>
            <w:tcBorders/>
            <w:vAlign w:val="center"/>
          </w:tcPr>
          <w:p>
            <w:pPr>
              <w:pStyle w:val="TableContents"/>
              <w:bidi w:val="0"/>
              <w:spacing w:before="0" w:after="283"/>
              <w:jc w:val="left"/>
              <w:rPr/>
            </w:pPr>
            <w:r>
              <w:rPr/>
              <w:t xml:space="preserve">any </w:t>
            </w:r>
            <w:r>
              <w:rPr>
                <w:rFonts w:ascii="Times New Roman;Times;Serif" w:hAnsi="Times New Roman;Times;Serif"/>
              </w:rPr>
              <w:t>Sponsor;</w:t>
            </w:r>
          </w:p>
        </w:tc>
      </w:tr>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Permitted Entities;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Family Members of any Sponsor;</w:t>
            </w:r>
          </w:p>
        </w:tc>
      </w:tr>
      <w:tr>
        <w:trPr/>
        <w:tc>
          <w:tcPr>
            <w:tcW w:w="7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991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relative of any Sponsor approved by the board of directors of the Company;</w:t>
            </w:r>
          </w:p>
        </w:tc>
      </w:tr>
      <w:tr>
        <w:trPr/>
        <w:tc>
          <w:tcPr>
            <w:tcW w:w="7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991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9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any transferee by operation of law, including in connection with divorce proceedings; </w:t>
            </w:r>
          </w:p>
        </w:tc>
      </w:tr>
      <w:tr>
        <w:trPr/>
        <w:tc>
          <w:tcPr>
            <w:tcW w:w="7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991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99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any charitable organization, foundation or similar entity; </w:t>
            </w:r>
          </w:p>
        </w:tc>
      </w:tr>
      <w:tr>
        <w:trPr/>
        <w:tc>
          <w:tcPr>
            <w:tcW w:w="7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991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w:t>
            </w:r>
          </w:p>
        </w:tc>
        <w:tc>
          <w:tcPr>
            <w:tcW w:w="99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connection with a transfer as a result of, or in connection with the death or Incapacity of any Sponsor, any Family Member of such Sponsor or other designee, in each case, approved by the Directors; and</w:t>
            </w:r>
          </w:p>
        </w:tc>
      </w:tr>
      <w:tr>
        <w:trPr/>
        <w:tc>
          <w:tcPr>
            <w:tcW w:w="7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991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w:t>
            </w:r>
          </w:p>
        </w:tc>
        <w:tc>
          <w:tcPr>
            <w:tcW w:w="99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
        <w:gridCol w:w="10107"/>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010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provided that, in the case of any transfer of Class B Shares pursuant to clauses (b) through (f) above to a Person who at a later time ceases to qualify as a Permitted Transferee under the relevant clause, the Company shall be able to refuse registration of any subsequent transfer of such Class B Shares except back to such Sponsor or his Permitted Entities, and in the absence of such transfer back to such Sponsor or his Permitted Entities, the applicable Class B Shares shall automatically convert in accordance with Article 17.4 applied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70"/>
        <w:gridCol w:w="8260"/>
      </w:tblGrid>
      <w:tr>
        <w:trPr/>
        <w:tc>
          <w:tcPr>
            <w:tcW w:w="75" w:type="dxa"/>
            <w:tcBorders/>
            <w:vAlign w:val="center"/>
          </w:tcPr>
          <w:p>
            <w:pPr>
              <w:pStyle w:val="TableContents"/>
              <w:bidi w:val="0"/>
              <w:spacing w:before="0" w:after="283"/>
              <w:jc w:val="left"/>
              <w:rPr/>
            </w:pPr>
            <w:r>
              <w:rPr/>
              <w:t> </w:t>
            </w:r>
          </w:p>
        </w:tc>
        <w:tc>
          <w:tcPr>
            <w:tcW w:w="1870" w:type="dxa"/>
            <w:tcBorders/>
            <w:vAlign w:val="center"/>
          </w:tcPr>
          <w:p>
            <w:pPr>
              <w:pStyle w:val="TableContents"/>
              <w:bidi w:val="0"/>
              <w:spacing w:before="0" w:after="283"/>
              <w:jc w:val="left"/>
              <w:rPr/>
            </w:pPr>
            <w:r>
              <w:rPr/>
              <w:t>“</w:t>
            </w:r>
            <w:r>
              <w:rPr>
                <w:rFonts w:ascii="Times New Roman;Times;Serif" w:hAnsi="Times New Roman;Times;Serif"/>
                <w:b/>
                <w:sz w:val="20"/>
              </w:rPr>
              <w:t>Person”</w:t>
            </w:r>
          </w:p>
        </w:tc>
        <w:tc>
          <w:tcPr>
            <w:tcW w:w="8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means any individual, corporation, partnership, joint venture, trust, unincorporated organization, limited liability company, estate, association, joint stock company, unincorporated organization, company or other form of business or legal entity or government authority.</w:t>
            </w:r>
          </w:p>
        </w:tc>
      </w:tr>
      <w:tr>
        <w:trPr/>
        <w:tc>
          <w:tcPr>
            <w:tcW w:w="75" w:type="dxa"/>
            <w:tcBorders/>
            <w:vAlign w:val="center"/>
          </w:tcPr>
          <w:p>
            <w:pPr>
              <w:pStyle w:val="TableContents"/>
              <w:bidi w:val="0"/>
              <w:spacing w:before="0" w:after="283"/>
              <w:jc w:val="left"/>
              <w:rPr/>
            </w:pPr>
            <w:r>
              <w:rPr/>
              <w:t> </w:t>
            </w:r>
          </w:p>
        </w:tc>
        <w:tc>
          <w:tcPr>
            <w:tcW w:w="1870" w:type="dxa"/>
            <w:tcBorders/>
            <w:vAlign w:val="center"/>
          </w:tcPr>
          <w:p>
            <w:pPr>
              <w:pStyle w:val="TableContents"/>
              <w:bidi w:val="0"/>
              <w:spacing w:before="0" w:after="283"/>
              <w:jc w:val="left"/>
              <w:rPr/>
            </w:pPr>
            <w:r>
              <w:rPr/>
              <w:t> </w:t>
            </w:r>
          </w:p>
        </w:tc>
        <w:tc>
          <w:tcPr>
            <w:tcW w:w="82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70" w:type="dxa"/>
            <w:tcBorders/>
            <w:vAlign w:val="center"/>
          </w:tcPr>
          <w:p>
            <w:pPr>
              <w:pStyle w:val="TableContents"/>
              <w:bidi w:val="0"/>
              <w:spacing w:before="0" w:after="283"/>
              <w:jc w:val="left"/>
              <w:rPr/>
            </w:pPr>
            <w:r>
              <w:rPr/>
              <w:t>“</w:t>
            </w:r>
            <w:r>
              <w:rPr>
                <w:rFonts w:ascii="Times New Roman;Times;Serif" w:hAnsi="Times New Roman;Times;Serif"/>
                <w:b/>
                <w:sz w:val="20"/>
              </w:rPr>
              <w:t>Register of Members”</w:t>
            </w:r>
          </w:p>
        </w:tc>
        <w:tc>
          <w:tcPr>
            <w:tcW w:w="8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means the register of Members maintained in accordance with the Statute and includes (except where otherwise stated) any branch or duplicate register of Members.</w:t>
            </w:r>
          </w:p>
        </w:tc>
      </w:tr>
      <w:tr>
        <w:trPr/>
        <w:tc>
          <w:tcPr>
            <w:tcW w:w="75" w:type="dxa"/>
            <w:tcBorders/>
            <w:vAlign w:val="center"/>
          </w:tcPr>
          <w:p>
            <w:pPr>
              <w:pStyle w:val="TableContents"/>
              <w:bidi w:val="0"/>
              <w:spacing w:before="0" w:after="283"/>
              <w:jc w:val="left"/>
              <w:rPr/>
            </w:pPr>
            <w:r>
              <w:rPr/>
              <w:t> </w:t>
            </w:r>
          </w:p>
        </w:tc>
        <w:tc>
          <w:tcPr>
            <w:tcW w:w="1870" w:type="dxa"/>
            <w:tcBorders/>
            <w:vAlign w:val="center"/>
          </w:tcPr>
          <w:p>
            <w:pPr>
              <w:pStyle w:val="TableContents"/>
              <w:bidi w:val="0"/>
              <w:spacing w:before="0" w:after="283"/>
              <w:jc w:val="left"/>
              <w:rPr/>
            </w:pPr>
            <w:r>
              <w:rPr/>
              <w:t> </w:t>
            </w:r>
          </w:p>
        </w:tc>
        <w:tc>
          <w:tcPr>
            <w:tcW w:w="82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70" w:type="dxa"/>
            <w:tcBorders/>
            <w:vAlign w:val="center"/>
          </w:tcPr>
          <w:p>
            <w:pPr>
              <w:pStyle w:val="TableContents"/>
              <w:bidi w:val="0"/>
              <w:spacing w:before="0" w:after="283"/>
              <w:jc w:val="left"/>
              <w:rPr/>
            </w:pPr>
            <w:r>
              <w:rPr/>
              <w:t>“</w:t>
            </w:r>
            <w:r>
              <w:rPr>
                <w:rFonts w:ascii="Times New Roman;Times;Serif" w:hAnsi="Times New Roman;Times;Serif"/>
                <w:b/>
                <w:sz w:val="20"/>
              </w:rPr>
              <w:t>Registered Office”</w:t>
            </w:r>
          </w:p>
        </w:tc>
        <w:tc>
          <w:tcPr>
            <w:tcW w:w="8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means the registered office for the time being of the Company.</w:t>
            </w:r>
          </w:p>
        </w:tc>
      </w:tr>
      <w:tr>
        <w:trPr/>
        <w:tc>
          <w:tcPr>
            <w:tcW w:w="75" w:type="dxa"/>
            <w:tcBorders/>
            <w:vAlign w:val="center"/>
          </w:tcPr>
          <w:p>
            <w:pPr>
              <w:pStyle w:val="TableContents"/>
              <w:bidi w:val="0"/>
              <w:spacing w:before="0" w:after="283"/>
              <w:jc w:val="left"/>
              <w:rPr/>
            </w:pPr>
            <w:r>
              <w:rPr/>
              <w:t> </w:t>
            </w:r>
          </w:p>
        </w:tc>
        <w:tc>
          <w:tcPr>
            <w:tcW w:w="1870" w:type="dxa"/>
            <w:tcBorders/>
            <w:vAlign w:val="center"/>
          </w:tcPr>
          <w:p>
            <w:pPr>
              <w:pStyle w:val="TableContents"/>
              <w:bidi w:val="0"/>
              <w:spacing w:before="0" w:after="283"/>
              <w:jc w:val="left"/>
              <w:rPr/>
            </w:pPr>
            <w:r>
              <w:rPr/>
              <w:t> </w:t>
            </w:r>
          </w:p>
        </w:tc>
        <w:tc>
          <w:tcPr>
            <w:tcW w:w="82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70" w:type="dxa"/>
            <w:tcBorders/>
            <w:vAlign w:val="center"/>
          </w:tcPr>
          <w:p>
            <w:pPr>
              <w:pStyle w:val="TableContents"/>
              <w:bidi w:val="0"/>
              <w:spacing w:before="0" w:after="283"/>
              <w:jc w:val="left"/>
              <w:rPr/>
            </w:pPr>
            <w:r>
              <w:rPr/>
              <w:t>“</w:t>
            </w:r>
            <w:r>
              <w:rPr>
                <w:rFonts w:ascii="Times New Roman;Times;Serif" w:hAnsi="Times New Roman;Times;Serif"/>
                <w:b/>
                <w:sz w:val="20"/>
              </w:rPr>
              <w:t>Seal”</w:t>
            </w:r>
          </w:p>
        </w:tc>
        <w:tc>
          <w:tcPr>
            <w:tcW w:w="8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means the common seal of the Company and includes every duplicate seal.</w:t>
            </w:r>
          </w:p>
        </w:tc>
      </w:tr>
      <w:tr>
        <w:trPr/>
        <w:tc>
          <w:tcPr>
            <w:tcW w:w="75" w:type="dxa"/>
            <w:tcBorders/>
            <w:vAlign w:val="center"/>
          </w:tcPr>
          <w:p>
            <w:pPr>
              <w:pStyle w:val="TableContents"/>
              <w:bidi w:val="0"/>
              <w:spacing w:before="0" w:after="283"/>
              <w:jc w:val="left"/>
              <w:rPr/>
            </w:pPr>
            <w:r>
              <w:rPr/>
              <w:t> </w:t>
            </w:r>
          </w:p>
        </w:tc>
        <w:tc>
          <w:tcPr>
            <w:tcW w:w="1870" w:type="dxa"/>
            <w:tcBorders/>
            <w:vAlign w:val="center"/>
          </w:tcPr>
          <w:p>
            <w:pPr>
              <w:pStyle w:val="TableContents"/>
              <w:bidi w:val="0"/>
              <w:spacing w:before="0" w:after="283"/>
              <w:jc w:val="left"/>
              <w:rPr/>
            </w:pPr>
            <w:r>
              <w:rPr/>
              <w:t> </w:t>
            </w:r>
          </w:p>
        </w:tc>
        <w:tc>
          <w:tcPr>
            <w:tcW w:w="82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70" w:type="dxa"/>
            <w:tcBorders/>
            <w:vAlign w:val="center"/>
          </w:tcPr>
          <w:p>
            <w:pPr>
              <w:pStyle w:val="TableContents"/>
              <w:bidi w:val="0"/>
              <w:spacing w:before="0" w:after="283"/>
              <w:jc w:val="left"/>
              <w:rPr/>
            </w:pPr>
            <w:r>
              <w:rPr/>
              <w:t>“</w:t>
            </w:r>
            <w:r>
              <w:rPr>
                <w:rFonts w:ascii="Times New Roman;Times;Serif" w:hAnsi="Times New Roman;Times;Serif"/>
                <w:b/>
                <w:sz w:val="20"/>
              </w:rPr>
              <w:t>Securities Act”</w:t>
            </w:r>
          </w:p>
        </w:tc>
        <w:tc>
          <w:tcPr>
            <w:tcW w:w="8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means the U.S. Securities Act of 1933.</w:t>
            </w:r>
          </w:p>
        </w:tc>
      </w:tr>
      <w:tr>
        <w:trPr/>
        <w:tc>
          <w:tcPr>
            <w:tcW w:w="75" w:type="dxa"/>
            <w:tcBorders/>
            <w:vAlign w:val="center"/>
          </w:tcPr>
          <w:p>
            <w:pPr>
              <w:pStyle w:val="TableContents"/>
              <w:bidi w:val="0"/>
              <w:spacing w:before="0" w:after="283"/>
              <w:jc w:val="left"/>
              <w:rPr/>
            </w:pPr>
            <w:r>
              <w:rPr/>
              <w:t> </w:t>
            </w:r>
          </w:p>
        </w:tc>
        <w:tc>
          <w:tcPr>
            <w:tcW w:w="1870" w:type="dxa"/>
            <w:tcBorders/>
            <w:vAlign w:val="center"/>
          </w:tcPr>
          <w:p>
            <w:pPr>
              <w:pStyle w:val="TableContents"/>
              <w:bidi w:val="0"/>
              <w:spacing w:before="0" w:after="283"/>
              <w:jc w:val="left"/>
              <w:rPr/>
            </w:pPr>
            <w:r>
              <w:rPr/>
              <w:t> </w:t>
            </w:r>
          </w:p>
        </w:tc>
        <w:tc>
          <w:tcPr>
            <w:tcW w:w="82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ind w:left="0" w:right="0" w:hanging="180"/>
              <w:jc w:val="left"/>
              <w:rPr/>
            </w:pPr>
            <w:r>
              <w:rPr/>
              <w:t> </w:t>
            </w:r>
          </w:p>
        </w:tc>
        <w:tc>
          <w:tcPr>
            <w:tcW w:w="1870" w:type="dxa"/>
            <w:tcBorders/>
            <w:vAlign w:val="center"/>
          </w:tcPr>
          <w:p>
            <w:pPr>
              <w:pStyle w:val="TableContents"/>
              <w:bidi w:val="0"/>
              <w:spacing w:before="0" w:after="283"/>
              <w:jc w:val="left"/>
              <w:rPr/>
            </w:pPr>
            <w:r>
              <w:rPr/>
              <w:t>“</w:t>
            </w:r>
            <w:r>
              <w:rPr>
                <w:rFonts w:ascii="Times New Roman;Times;Serif" w:hAnsi="Times New Roman;Times;Serif"/>
                <w:b/>
                <w:sz w:val="20"/>
              </w:rPr>
              <w:t>Securities and Exchange Commission”</w:t>
            </w:r>
          </w:p>
        </w:tc>
        <w:tc>
          <w:tcPr>
            <w:tcW w:w="8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means the United States Securities and Exchange Commission.</w:t>
            </w:r>
          </w:p>
        </w:tc>
      </w:tr>
      <w:tr>
        <w:trPr/>
        <w:tc>
          <w:tcPr>
            <w:tcW w:w="75" w:type="dxa"/>
            <w:tcBorders/>
            <w:vAlign w:val="center"/>
          </w:tcPr>
          <w:p>
            <w:pPr>
              <w:pStyle w:val="TableContents"/>
              <w:bidi w:val="0"/>
              <w:spacing w:before="0" w:after="283"/>
              <w:ind w:left="0" w:right="0" w:hanging="180"/>
              <w:jc w:val="left"/>
              <w:rPr/>
            </w:pPr>
            <w:r>
              <w:rPr/>
              <w:t> </w:t>
            </w:r>
          </w:p>
        </w:tc>
        <w:tc>
          <w:tcPr>
            <w:tcW w:w="1870" w:type="dxa"/>
            <w:tcBorders/>
            <w:vAlign w:val="center"/>
          </w:tcPr>
          <w:p>
            <w:pPr>
              <w:pStyle w:val="TableContents"/>
              <w:bidi w:val="0"/>
              <w:spacing w:before="0" w:after="283"/>
              <w:jc w:val="left"/>
              <w:rPr/>
            </w:pPr>
            <w:r>
              <w:rPr/>
              <w:t> </w:t>
            </w:r>
          </w:p>
        </w:tc>
        <w:tc>
          <w:tcPr>
            <w:tcW w:w="82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70" w:type="dxa"/>
            <w:tcBorders/>
            <w:vAlign w:val="center"/>
          </w:tcPr>
          <w:p>
            <w:pPr>
              <w:pStyle w:val="TableContents"/>
              <w:bidi w:val="0"/>
              <w:spacing w:before="0" w:after="283"/>
              <w:jc w:val="left"/>
              <w:rPr/>
            </w:pPr>
            <w:r>
              <w:rPr/>
              <w:t>“</w:t>
            </w:r>
            <w:r>
              <w:rPr>
                <w:rFonts w:ascii="Times New Roman;Times;Serif" w:hAnsi="Times New Roman;Times;Serif"/>
                <w:b/>
                <w:sz w:val="20"/>
              </w:rPr>
              <w:t>Share”</w:t>
            </w:r>
          </w:p>
        </w:tc>
        <w:tc>
          <w:tcPr>
            <w:tcW w:w="8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means a share in the capital of the Company and includes a fraction of a share in the Company.</w:t>
            </w:r>
          </w:p>
        </w:tc>
      </w:tr>
      <w:tr>
        <w:trPr/>
        <w:tc>
          <w:tcPr>
            <w:tcW w:w="75" w:type="dxa"/>
            <w:tcBorders/>
            <w:vAlign w:val="center"/>
          </w:tcPr>
          <w:p>
            <w:pPr>
              <w:pStyle w:val="TableContents"/>
              <w:bidi w:val="0"/>
              <w:spacing w:before="0" w:after="283"/>
              <w:jc w:val="left"/>
              <w:rPr/>
            </w:pPr>
            <w:r>
              <w:rPr/>
              <w:t> </w:t>
            </w:r>
          </w:p>
        </w:tc>
        <w:tc>
          <w:tcPr>
            <w:tcW w:w="1870" w:type="dxa"/>
            <w:tcBorders/>
            <w:vAlign w:val="center"/>
          </w:tcPr>
          <w:p>
            <w:pPr>
              <w:pStyle w:val="TableContents"/>
              <w:bidi w:val="0"/>
              <w:spacing w:before="0" w:after="283"/>
              <w:jc w:val="left"/>
              <w:rPr/>
            </w:pPr>
            <w:r>
              <w:rPr/>
              <w:t> </w:t>
            </w:r>
          </w:p>
        </w:tc>
        <w:tc>
          <w:tcPr>
            <w:tcW w:w="82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70" w:type="dxa"/>
            <w:tcBorders/>
            <w:vAlign w:val="center"/>
          </w:tcPr>
          <w:p>
            <w:pPr>
              <w:pStyle w:val="TableContents"/>
              <w:bidi w:val="0"/>
              <w:spacing w:before="0" w:after="283"/>
              <w:jc w:val="left"/>
              <w:rPr/>
            </w:pPr>
            <w:r>
              <w:rPr/>
              <w:t>“</w:t>
            </w:r>
            <w:r>
              <w:rPr>
                <w:rFonts w:ascii="Times New Roman;Times;Serif" w:hAnsi="Times New Roman;Times;Serif"/>
                <w:b/>
                <w:sz w:val="20"/>
              </w:rPr>
              <w:t>Special Resolution”</w:t>
            </w:r>
          </w:p>
        </w:tc>
        <w:tc>
          <w:tcPr>
            <w:tcW w:w="8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has the same meaning as in the Statute, and includes a unanimous written resolution.</w:t>
            </w:r>
          </w:p>
        </w:tc>
      </w:tr>
      <w:tr>
        <w:trPr/>
        <w:tc>
          <w:tcPr>
            <w:tcW w:w="75" w:type="dxa"/>
            <w:tcBorders/>
            <w:vAlign w:val="center"/>
          </w:tcPr>
          <w:p>
            <w:pPr>
              <w:pStyle w:val="TableContents"/>
              <w:bidi w:val="0"/>
              <w:spacing w:before="0" w:after="283"/>
              <w:jc w:val="left"/>
              <w:rPr/>
            </w:pPr>
            <w:r>
              <w:rPr/>
              <w:t> </w:t>
            </w:r>
          </w:p>
        </w:tc>
        <w:tc>
          <w:tcPr>
            <w:tcW w:w="1870" w:type="dxa"/>
            <w:tcBorders/>
            <w:vAlign w:val="center"/>
          </w:tcPr>
          <w:p>
            <w:pPr>
              <w:pStyle w:val="TableContents"/>
              <w:bidi w:val="0"/>
              <w:spacing w:before="0" w:after="283"/>
              <w:jc w:val="left"/>
              <w:rPr/>
            </w:pPr>
            <w:r>
              <w:rPr/>
              <w:t> </w:t>
            </w:r>
          </w:p>
        </w:tc>
        <w:tc>
          <w:tcPr>
            <w:tcW w:w="82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70" w:type="dxa"/>
            <w:tcBorders/>
            <w:vAlign w:val="center"/>
          </w:tcPr>
          <w:p>
            <w:pPr>
              <w:pStyle w:val="TableContents"/>
              <w:bidi w:val="0"/>
              <w:spacing w:before="0" w:after="283"/>
              <w:jc w:val="left"/>
              <w:rPr/>
            </w:pPr>
            <w:r>
              <w:rPr/>
              <w:t>“</w:t>
            </w:r>
            <w:r>
              <w:rPr>
                <w:rFonts w:ascii="Times New Roman;Times;Serif" w:hAnsi="Times New Roman;Times;Serif"/>
                <w:b/>
                <w:sz w:val="20"/>
              </w:rPr>
              <w:t>Sponsor”</w:t>
            </w:r>
          </w:p>
        </w:tc>
        <w:tc>
          <w:tcPr>
            <w:tcW w:w="8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means each ultimate beneficial owner of the Class B Shares.</w:t>
            </w:r>
          </w:p>
        </w:tc>
      </w:tr>
      <w:tr>
        <w:trPr/>
        <w:tc>
          <w:tcPr>
            <w:tcW w:w="75" w:type="dxa"/>
            <w:tcBorders/>
            <w:vAlign w:val="center"/>
          </w:tcPr>
          <w:p>
            <w:pPr>
              <w:pStyle w:val="TableContents"/>
              <w:bidi w:val="0"/>
              <w:spacing w:before="0" w:after="283"/>
              <w:jc w:val="left"/>
              <w:rPr/>
            </w:pPr>
            <w:r>
              <w:rPr/>
              <w:t> </w:t>
            </w:r>
          </w:p>
        </w:tc>
        <w:tc>
          <w:tcPr>
            <w:tcW w:w="1870" w:type="dxa"/>
            <w:tcBorders/>
            <w:vAlign w:val="center"/>
          </w:tcPr>
          <w:p>
            <w:pPr>
              <w:pStyle w:val="TableContents"/>
              <w:bidi w:val="0"/>
              <w:spacing w:before="0" w:after="283"/>
              <w:jc w:val="left"/>
              <w:rPr/>
            </w:pPr>
            <w:r>
              <w:rPr/>
              <w:t> </w:t>
            </w:r>
          </w:p>
        </w:tc>
        <w:tc>
          <w:tcPr>
            <w:tcW w:w="82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70" w:type="dxa"/>
            <w:tcBorders/>
            <w:vAlign w:val="center"/>
          </w:tcPr>
          <w:p>
            <w:pPr>
              <w:pStyle w:val="TableContents"/>
              <w:bidi w:val="0"/>
              <w:spacing w:before="0" w:after="283"/>
              <w:jc w:val="left"/>
              <w:rPr/>
            </w:pPr>
            <w:r>
              <w:rPr/>
              <w:t>“</w:t>
            </w:r>
            <w:r>
              <w:rPr>
                <w:b/>
              </w:rPr>
              <w:t>Statute”</w:t>
            </w:r>
          </w:p>
        </w:tc>
        <w:tc>
          <w:tcPr>
            <w:tcW w:w="8260" w:type="dxa"/>
            <w:tcBorders/>
            <w:vAlign w:val="center"/>
          </w:tcPr>
          <w:p>
            <w:pPr>
              <w:pStyle w:val="TableContents"/>
              <w:bidi w:val="0"/>
              <w:spacing w:before="0" w:after="283"/>
              <w:jc w:val="both"/>
              <w:rPr/>
            </w:pPr>
            <w:r>
              <w:rPr/>
              <w:t>means the Companies Act (Revised) of the Cayman Islands.</w:t>
            </w:r>
          </w:p>
        </w:tc>
      </w:tr>
      <w:tr>
        <w:trPr/>
        <w:tc>
          <w:tcPr>
            <w:tcW w:w="75" w:type="dxa"/>
            <w:tcBorders/>
            <w:vAlign w:val="center"/>
          </w:tcPr>
          <w:p>
            <w:pPr>
              <w:pStyle w:val="TableContents"/>
              <w:bidi w:val="0"/>
              <w:spacing w:before="0" w:after="283"/>
              <w:jc w:val="left"/>
              <w:rPr/>
            </w:pPr>
            <w:r>
              <w:rPr/>
              <w:t> </w:t>
            </w:r>
          </w:p>
        </w:tc>
        <w:tc>
          <w:tcPr>
            <w:tcW w:w="1870" w:type="dxa"/>
            <w:tcBorders/>
            <w:vAlign w:val="center"/>
          </w:tcPr>
          <w:p>
            <w:pPr>
              <w:pStyle w:val="TableContents"/>
              <w:bidi w:val="0"/>
              <w:spacing w:before="0" w:after="283"/>
              <w:jc w:val="left"/>
              <w:rPr/>
            </w:pPr>
            <w:r>
              <w:rPr/>
              <w:t> </w:t>
            </w:r>
          </w:p>
        </w:tc>
        <w:tc>
          <w:tcPr>
            <w:tcW w:w="82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70" w:type="dxa"/>
            <w:tcBorders/>
            <w:vAlign w:val="center"/>
          </w:tcPr>
          <w:p>
            <w:pPr>
              <w:pStyle w:val="TableContents"/>
              <w:bidi w:val="0"/>
              <w:spacing w:before="0" w:after="283"/>
              <w:jc w:val="left"/>
              <w:rPr/>
            </w:pPr>
            <w:r>
              <w:rPr/>
              <w:t>“</w:t>
            </w:r>
            <w:r>
              <w:rPr>
                <w:rFonts w:ascii="Times New Roman;Times;Serif" w:hAnsi="Times New Roman;Times;Serif"/>
                <w:b/>
                <w:sz w:val="20"/>
              </w:rPr>
              <w:t>Treasury Share”</w:t>
            </w:r>
          </w:p>
        </w:tc>
        <w:tc>
          <w:tcPr>
            <w:tcW w:w="8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means a Share held in the name of the Company as a treasury share in accordance with the Statute.</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283"/>
        <w:jc w:val="left"/>
        <w:rPr/>
      </w:pPr>
      <w:r>
        <w:rPr/>
        <w:t> </w:t>
      </w:r>
    </w:p>
    <w:tbl>
      <w:tblPr>
        <w:tblW w:w="1548" w:type="dxa"/>
        <w:jc w:val="left"/>
        <w:tblInd w:w="0" w:type="dxa"/>
        <w:tblLayout w:type="fixed"/>
        <w:tblCellMar>
          <w:top w:w="0" w:type="dxa"/>
          <w:left w:w="0" w:type="dxa"/>
          <w:bottom w:w="0" w:type="dxa"/>
          <w:right w:w="0" w:type="dxa"/>
        </w:tblCellMar>
      </w:tblPr>
      <w:tblGrid>
        <w:gridCol w:w="38"/>
        <w:gridCol w:w="275"/>
        <w:gridCol w:w="123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12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Articles:</w:t>
            </w:r>
          </w:p>
        </w:tc>
      </w:tr>
    </w:tbl>
    <w:p>
      <w:pPr>
        <w:pStyle w:val="TextBody"/>
        <w:bidi w:val="0"/>
        <w:spacing w:before="0" w:after="0"/>
        <w:ind w:left="1080" w:right="0" w:hanging="360"/>
        <w:jc w:val="both"/>
        <w:rPr>
          <w:caps w:val="false"/>
          <w:smallCaps w:val="false"/>
        </w:rPr>
      </w:pPr>
      <w:r>
        <w:rPr>
          <w:caps w:val="false"/>
          <w:smallCaps w:val="false"/>
        </w:rPr>
        <w:t> </w:t>
      </w:r>
    </w:p>
    <w:tbl>
      <w:tblPr>
        <w:tblW w:w="6708" w:type="dxa"/>
        <w:jc w:val="left"/>
        <w:tblInd w:w="0" w:type="dxa"/>
        <w:tblLayout w:type="fixed"/>
        <w:tblCellMar>
          <w:top w:w="0" w:type="dxa"/>
          <w:left w:w="0" w:type="dxa"/>
          <w:bottom w:w="0" w:type="dxa"/>
          <w:right w:w="0" w:type="dxa"/>
        </w:tblCellMar>
      </w:tblPr>
      <w:tblGrid>
        <w:gridCol w:w="38"/>
        <w:gridCol w:w="230"/>
        <w:gridCol w:w="644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6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words importing the singular number include the plural number and vice versa;</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431"/>
        <w:gridCol w:w="9708"/>
      </w:tblGrid>
      <w:tr>
        <w:trPr/>
        <w:tc>
          <w:tcPr>
            <w:tcW w:w="6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70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words importing the masculine gender include the feminine gender;</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4"/>
        <w:gridCol w:w="9964"/>
      </w:tblGrid>
      <w:tr>
        <w:trPr/>
        <w:tc>
          <w:tcPr>
            <w:tcW w:w="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6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references to any agreement, deed or other instrument (including to these Articles and the Memorandum) are references to that agreement or instrument as amended, restated, or novated from time to time;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34" w:type="dxa"/>
            <w:tcBorders/>
            <w:vAlign w:val="center"/>
          </w:tcPr>
          <w:p>
            <w:pPr>
              <w:pStyle w:val="TableContents"/>
              <w:bidi w:val="0"/>
              <w:spacing w:before="0" w:after="283"/>
              <w:jc w:val="both"/>
              <w:rPr/>
            </w:pPr>
            <w:r>
              <w:rPr/>
              <w:t>“</w:t>
            </w:r>
            <w:r>
              <w:rPr>
                <w:rFonts w:ascii="Times New Roman;Times;Serif" w:hAnsi="Times New Roman;Times;Serif"/>
                <w:sz w:val="20"/>
              </w:rPr>
              <w:t>written” and “in writing” include all modes of representing or reproducing words in visible form, including in the form of an Electronic Record;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328"/>
        <w:gridCol w:w="9823"/>
      </w:tblGrid>
      <w:tr>
        <w:trPr/>
        <w:tc>
          <w:tcPr>
            <w:tcW w:w="5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823" w:type="dxa"/>
            <w:tcBorders/>
            <w:vAlign w:val="center"/>
          </w:tcPr>
          <w:p>
            <w:pPr>
              <w:pStyle w:val="TableContents"/>
              <w:bidi w:val="0"/>
              <w:spacing w:before="0" w:after="283"/>
              <w:jc w:val="both"/>
              <w:rPr/>
            </w:pPr>
            <w:r>
              <w:rPr/>
              <w:t>“</w:t>
            </w:r>
            <w:r>
              <w:rPr>
                <w:rFonts w:ascii="Times New Roman;Times;Serif" w:hAnsi="Times New Roman;Times;Serif"/>
                <w:sz w:val="20"/>
              </w:rPr>
              <w:t>shall” shall be construed as imperative and “may” shall be construed as permissive;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9"/>
        <w:gridCol w:w="9979"/>
      </w:tblGrid>
      <w:tr>
        <w:trPr/>
        <w:tc>
          <w:tcPr>
            <w:tcW w:w="3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997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references to provisions of any law or regulation shall be construed as references to those provisions as amended, modified, re-enacted or replaced;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w:t>
            </w:r>
          </w:p>
        </w:tc>
        <w:tc>
          <w:tcPr>
            <w:tcW w:w="99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phrase introduced by the terms “including”, “include”, “in particular” or any similar expression shall be construed as illustrative and shall not limit the sense of the words preceding those terms;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4"/>
        <w:gridCol w:w="9964"/>
      </w:tblGrid>
      <w:tr>
        <w:trPr/>
        <w:tc>
          <w:tcPr>
            <w:tcW w:w="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w:t>
            </w:r>
          </w:p>
        </w:tc>
        <w:tc>
          <w:tcPr>
            <w:tcW w:w="996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term “and/or” is used herein to mean both “and” as well as “or.” The use of “and/or” in certain contexts in no respect qualifies or modifies the use of the terms “and” or “or” in others. The term “or” shall not be interpreted to be exclusive and the term “and” shall not be interpreted to require the conjunctive (in each case, unless the context otherwise requires);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280"/>
        <w:gridCol w:w="9873"/>
      </w:tblGrid>
      <w:tr>
        <w:trPr/>
        <w:tc>
          <w:tcPr>
            <w:tcW w:w="5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8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headings are inserted for reference only and shall be ignored in construing the Articles;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237"/>
        <w:gridCol w:w="9924"/>
      </w:tblGrid>
      <w:tr>
        <w:trPr/>
        <w:tc>
          <w:tcPr>
            <w:tcW w:w="4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w:t>
            </w:r>
          </w:p>
        </w:tc>
        <w:tc>
          <w:tcPr>
            <w:tcW w:w="99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requirements as to delivery under the Articles include delivery in the form of an Electronic Record;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7"/>
        <w:gridCol w:w="9951"/>
      </w:tblGrid>
      <w:tr>
        <w:trPr/>
        <w:tc>
          <w:tcPr>
            <w:tcW w:w="3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w:t>
            </w:r>
          </w:p>
        </w:tc>
        <w:tc>
          <w:tcPr>
            <w:tcW w:w="99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requirements as to execution or signature under the Articles including the execution of the Articles themselves can be satisfied in the form of an electronic signature as defined in the Electronic Transactions Act;</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338"/>
        <w:gridCol w:w="9803"/>
      </w:tblGrid>
      <w:tr>
        <w:trPr/>
        <w:tc>
          <w:tcPr>
            <w:tcW w:w="6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w:t>
            </w:r>
          </w:p>
        </w:tc>
        <w:tc>
          <w:tcPr>
            <w:tcW w:w="98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sections 8 and 19(3) of the Electronic Transactions Act shall not apply;</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108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3"/>
        <w:gridCol w:w="9905"/>
      </w:tblGrid>
      <w:tr>
        <w:trPr/>
        <w:tc>
          <w:tcPr>
            <w:tcW w:w="3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w:t>
            </w:r>
          </w:p>
        </w:tc>
        <w:tc>
          <w:tcPr>
            <w:tcW w:w="9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term “clear days” in relation to the period of a notice means that period excluding the day when the notice is received or deemed to be received and the day for which it is given or on which it is to take effect;</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263"/>
        <w:gridCol w:w="9902"/>
      </w:tblGrid>
      <w:tr>
        <w:trPr/>
        <w:tc>
          <w:tcPr>
            <w:tcW w:w="4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w:t>
            </w:r>
          </w:p>
        </w:tc>
        <w:tc>
          <w:tcPr>
            <w:tcW w:w="99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reference to “$”, “US$”, “USD”, or dollar(s) is a reference to the lawful currency of the United States of America;</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3"/>
        <w:gridCol w:w="9955"/>
      </w:tblGrid>
      <w:tr>
        <w:trPr/>
        <w:tc>
          <w:tcPr>
            <w:tcW w:w="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9955" w:type="dxa"/>
            <w:tcBorders/>
            <w:vAlign w:val="center"/>
          </w:tcPr>
          <w:p>
            <w:pPr>
              <w:pStyle w:val="TableContents"/>
              <w:bidi w:val="0"/>
              <w:spacing w:before="0" w:after="283"/>
              <w:jc w:val="both"/>
              <w:rPr/>
            </w:pPr>
            <w:r>
              <w:rPr/>
              <w:t>“</w:t>
            </w:r>
            <w:r>
              <w:rPr>
                <w:rFonts w:ascii="Times New Roman;Times;Serif" w:hAnsi="Times New Roman;Times;Serif"/>
                <w:sz w:val="20"/>
              </w:rPr>
              <w:t>directly or indirectly” means, except where the context requires otherwise, directly or indirectly through one or more intermediate Persons or through contractual or other arrangements, and “direct or indirect” has the correlative meaning;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9"/>
        <w:gridCol w:w="9929"/>
      </w:tblGrid>
      <w:tr>
        <w:trPr/>
        <w:tc>
          <w:tcPr>
            <w:tcW w:w="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w:t>
            </w:r>
          </w:p>
        </w:tc>
        <w:tc>
          <w:tcPr>
            <w:tcW w:w="992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term “holder” in relation to a Share means a Person whose name is entered in the Register of Members as the holder of such Share.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5"/>
        <w:gridCol w:w="511"/>
        <w:gridCol w:w="9539"/>
      </w:tblGrid>
      <w:tr>
        <w:trPr/>
        <w:tc>
          <w:tcPr>
            <w:tcW w:w="15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5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Commencement of Business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5"/>
        <w:gridCol w:w="9893"/>
      </w:tblGrid>
      <w:tr>
        <w:trPr/>
        <w:tc>
          <w:tcPr>
            <w:tcW w:w="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98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business of the Company may be commenced as soon after incorporation of the Company as the Directors shall see fit.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5"/>
        <w:gridCol w:w="9893"/>
      </w:tblGrid>
      <w:tr>
        <w:trPr/>
        <w:tc>
          <w:tcPr>
            <w:tcW w:w="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w:t>
            </w:r>
          </w:p>
        </w:tc>
        <w:tc>
          <w:tcPr>
            <w:tcW w:w="98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pay, out of the capital or any other monies of the Company, all expenses incurred in or about the formation and establishment of the Company, including the expenses of registration.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7"/>
        <w:gridCol w:w="421"/>
        <w:gridCol w:w="9657"/>
      </w:tblGrid>
      <w:tr>
        <w:trPr/>
        <w:tc>
          <w:tcPr>
            <w:tcW w:w="127"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6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Issue of Shares and other Securities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5"/>
        <w:gridCol w:w="9893"/>
      </w:tblGrid>
      <w:tr>
        <w:trPr/>
        <w:tc>
          <w:tcPr>
            <w:tcW w:w="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w:t>
            </w:r>
          </w:p>
        </w:tc>
        <w:tc>
          <w:tcPr>
            <w:tcW w:w="98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provisions, if any, in the Memorandum (and to any direction that may be given by the Company in general meeting) and, where applicable, the rules and regulations of the Designated Stock Exchange, the Securities and Exchange Commission and/or any other competent regulatory authority or otherwise under Applicable Law, and without prejudice to any rights attached to any existing Shares, the Directors may allot, issue, grant options over or otherwise dispose of Shares (including fractions of a Share) with or without preferred, deferred or other rights or restrictions, whether in regard to Dividends or other distributions, voting, return of capital or otherwise and to such Persons, at such times and on such other terms as they think proper, and may also (subject to the Statute and the Articles) vary such rights, save that the Directors shall not allot, issue, grant options over or otherwise dispose of Shares (including fractions of a Share) to the extent that it may affect the ability of the Company to carry out a conversion of the Class B Shares set out in the Articles. No holder of Ordinary Shares shall have pre-emptive rights.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5"/>
        <w:gridCol w:w="9893"/>
      </w:tblGrid>
      <w:tr>
        <w:trPr/>
        <w:tc>
          <w:tcPr>
            <w:tcW w:w="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w:t>
            </w:r>
          </w:p>
        </w:tc>
        <w:tc>
          <w:tcPr>
            <w:tcW w:w="98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may issue rights, options, warrants or convertible securities or securities of similar nature conferring the right upon the holders thereof to subscribe for, purchase or receive any class of Shares or other securities in the Company on such terms as the Directors may from time to time determine.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3.3</w:t>
            </w:r>
          </w:p>
        </w:tc>
        <w:tc>
          <w:tcPr>
            <w:tcW w:w="98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Except as set forth otherwise in Article 17.3, the Directors may provide, out of the unissued shares, for a series of preference shares. Before any preference shares of any such series are issued, the Directors shall fix, by resolution or resolutions, the following provisions of the preference shares thereof, if applicable: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4"/>
        <w:gridCol w:w="9916"/>
      </w:tblGrid>
      <w:tr>
        <w:trPr/>
        <w:tc>
          <w:tcPr>
            <w:tcW w:w="75" w:type="dxa"/>
            <w:tcBorders/>
            <w:vAlign w:val="center"/>
          </w:tcPr>
          <w:p>
            <w:pPr>
              <w:pStyle w:val="TableContents"/>
              <w:bidi w:val="0"/>
              <w:spacing w:before="0" w:after="283"/>
              <w:jc w:val="both"/>
              <w:rPr/>
            </w:pPr>
            <w:r>
              <w:rPr/>
              <w:t> </w:t>
            </w:r>
          </w:p>
        </w:tc>
        <w:tc>
          <w:tcPr>
            <w:tcW w:w="2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1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designation of such series, the number of preference shares to constitute such series and the subscription price thereof if different from the par value thereof;</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2"/>
        <w:gridCol w:w="9928"/>
      </w:tblGrid>
      <w:tr>
        <w:trPr/>
        <w:tc>
          <w:tcPr>
            <w:tcW w:w="75" w:type="dxa"/>
            <w:tcBorders/>
            <w:vAlign w:val="center"/>
          </w:tcPr>
          <w:p>
            <w:pPr>
              <w:pStyle w:val="TableContents"/>
              <w:bidi w:val="0"/>
              <w:spacing w:before="0" w:after="283"/>
              <w:ind w:left="0" w:right="0" w:hanging="45"/>
              <w:jc w:val="both"/>
              <w:rPr/>
            </w:pPr>
            <w:r>
              <w:rPr/>
              <w:t> </w:t>
            </w:r>
          </w:p>
        </w:tc>
        <w:tc>
          <w:tcPr>
            <w:tcW w:w="2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shares of such series shall have voting rights, in addition to any voting rights provided by law, and, if so, the terms of such voting rights, which may be general or limited;</w:t>
            </w:r>
          </w:p>
        </w:tc>
      </w:tr>
      <w:tr>
        <w:trPr/>
        <w:tc>
          <w:tcPr>
            <w:tcW w:w="75" w:type="dxa"/>
            <w:tcBorders/>
            <w:vAlign w:val="center"/>
          </w:tcPr>
          <w:p>
            <w:pPr>
              <w:pStyle w:val="TableContents"/>
              <w:bidi w:val="0"/>
              <w:spacing w:before="0" w:after="283"/>
              <w:ind w:left="0" w:right="0" w:hanging="45"/>
              <w:jc w:val="both"/>
              <w:rPr/>
            </w:pPr>
            <w:r>
              <w:rPr/>
              <w:t> </w:t>
            </w:r>
          </w:p>
        </w:tc>
        <w:tc>
          <w:tcPr>
            <w:tcW w:w="202" w:type="dxa"/>
            <w:tcBorders/>
            <w:vAlign w:val="center"/>
          </w:tcPr>
          <w:p>
            <w:pPr>
              <w:pStyle w:val="TableContents"/>
              <w:bidi w:val="0"/>
              <w:spacing w:before="0" w:after="283"/>
              <w:jc w:val="both"/>
              <w:rPr/>
            </w:pPr>
            <w:r>
              <w:rPr/>
              <w:t> </w:t>
            </w:r>
          </w:p>
        </w:tc>
        <w:tc>
          <w:tcPr>
            <w:tcW w:w="992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dividends, if any, payable on such series, whether any such dividends shall be cumulative, and, if so, from what dates, the conditions and dates upon which such dividends shall be payable, the preference or relation which such dividends shall bear to the dividends payable on any shares of any other class or any other series of preference shares;</w:t>
            </w:r>
          </w:p>
        </w:tc>
      </w:tr>
      <w:tr>
        <w:trPr/>
        <w:tc>
          <w:tcPr>
            <w:tcW w:w="75" w:type="dxa"/>
            <w:tcBorders/>
            <w:vAlign w:val="center"/>
          </w:tcPr>
          <w:p>
            <w:pPr>
              <w:pStyle w:val="TableContents"/>
              <w:bidi w:val="0"/>
              <w:spacing w:before="0" w:after="283"/>
              <w:jc w:val="both"/>
              <w:rPr/>
            </w:pPr>
            <w:r>
              <w:rPr/>
              <w:t> </w:t>
            </w:r>
          </w:p>
        </w:tc>
        <w:tc>
          <w:tcPr>
            <w:tcW w:w="202" w:type="dxa"/>
            <w:tcBorders/>
            <w:vAlign w:val="center"/>
          </w:tcPr>
          <w:p>
            <w:pPr>
              <w:pStyle w:val="TableContents"/>
              <w:bidi w:val="0"/>
              <w:spacing w:before="0" w:after="283"/>
              <w:jc w:val="both"/>
              <w:rPr/>
            </w:pPr>
            <w:r>
              <w:rPr/>
              <w:t> </w:t>
            </w:r>
          </w:p>
        </w:tc>
        <w:tc>
          <w:tcPr>
            <w:tcW w:w="992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9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preference shares of such series shall be subject to redemption by the Company, and, if so, the times, prices and other conditions of such redemption;</w:t>
            </w:r>
          </w:p>
        </w:tc>
      </w:tr>
      <w:tr>
        <w:trPr/>
        <w:tc>
          <w:tcPr>
            <w:tcW w:w="75" w:type="dxa"/>
            <w:tcBorders/>
            <w:vAlign w:val="center"/>
          </w:tcPr>
          <w:p>
            <w:pPr>
              <w:pStyle w:val="TableContents"/>
              <w:bidi w:val="0"/>
              <w:spacing w:before="0" w:after="283"/>
              <w:jc w:val="both"/>
              <w:rPr/>
            </w:pPr>
            <w:r>
              <w:rPr/>
              <w:t> </w:t>
            </w:r>
          </w:p>
        </w:tc>
        <w:tc>
          <w:tcPr>
            <w:tcW w:w="202" w:type="dxa"/>
            <w:tcBorders/>
            <w:vAlign w:val="center"/>
          </w:tcPr>
          <w:p>
            <w:pPr>
              <w:pStyle w:val="TableContents"/>
              <w:bidi w:val="0"/>
              <w:spacing w:before="0" w:after="283"/>
              <w:jc w:val="both"/>
              <w:rPr/>
            </w:pPr>
            <w:r>
              <w:rPr/>
              <w:t> </w:t>
            </w:r>
          </w:p>
        </w:tc>
        <w:tc>
          <w:tcPr>
            <w:tcW w:w="992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w:t>
            </w:r>
          </w:p>
        </w:tc>
        <w:tc>
          <w:tcPr>
            <w:tcW w:w="99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 or amounts payable upon preference shares of such series upon, and the rights of the holders of such series in, a voluntary or involuntary liquidation, dissolution or winding up, or upon any distribution of the assets, of the Company;</w:t>
            </w:r>
          </w:p>
        </w:tc>
      </w:tr>
      <w:tr>
        <w:trPr/>
        <w:tc>
          <w:tcPr>
            <w:tcW w:w="75" w:type="dxa"/>
            <w:tcBorders/>
            <w:vAlign w:val="center"/>
          </w:tcPr>
          <w:p>
            <w:pPr>
              <w:pStyle w:val="TableContents"/>
              <w:bidi w:val="0"/>
              <w:spacing w:before="0" w:after="283"/>
              <w:jc w:val="both"/>
              <w:rPr/>
            </w:pPr>
            <w:r>
              <w:rPr/>
              <w:t> </w:t>
            </w:r>
          </w:p>
        </w:tc>
        <w:tc>
          <w:tcPr>
            <w:tcW w:w="202" w:type="dxa"/>
            <w:tcBorders/>
            <w:vAlign w:val="center"/>
          </w:tcPr>
          <w:p>
            <w:pPr>
              <w:pStyle w:val="TableContents"/>
              <w:bidi w:val="0"/>
              <w:spacing w:before="0" w:after="283"/>
              <w:jc w:val="both"/>
              <w:rPr/>
            </w:pPr>
            <w:r>
              <w:rPr/>
              <w:t> </w:t>
            </w:r>
          </w:p>
        </w:tc>
        <w:tc>
          <w:tcPr>
            <w:tcW w:w="992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w:t>
            </w:r>
          </w:p>
        </w:tc>
        <w:tc>
          <w:tcPr>
            <w:tcW w:w="99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preference shares of such series shall be subject to the operation of a retirement or sinking fund and, if so, the extent to and manner in which any such retirement or sinking fund shall be applied to the purchase or redemption of the preference shares of such series for retirement or other corporate purposes and the terms and provisions relative to the operation thereof;</w:t>
            </w:r>
          </w:p>
        </w:tc>
      </w:tr>
      <w:tr>
        <w:trPr/>
        <w:tc>
          <w:tcPr>
            <w:tcW w:w="75" w:type="dxa"/>
            <w:tcBorders/>
            <w:vAlign w:val="center"/>
          </w:tcPr>
          <w:p>
            <w:pPr>
              <w:pStyle w:val="TableContents"/>
              <w:bidi w:val="0"/>
              <w:spacing w:before="0" w:after="283"/>
              <w:jc w:val="both"/>
              <w:rPr/>
            </w:pPr>
            <w:r>
              <w:rPr/>
              <w:t> </w:t>
            </w:r>
          </w:p>
        </w:tc>
        <w:tc>
          <w:tcPr>
            <w:tcW w:w="202" w:type="dxa"/>
            <w:tcBorders/>
            <w:vAlign w:val="center"/>
          </w:tcPr>
          <w:p>
            <w:pPr>
              <w:pStyle w:val="TableContents"/>
              <w:bidi w:val="0"/>
              <w:spacing w:before="0" w:after="283"/>
              <w:jc w:val="both"/>
              <w:rPr/>
            </w:pPr>
            <w:r>
              <w:rPr/>
              <w:t> </w:t>
            </w:r>
          </w:p>
        </w:tc>
        <w:tc>
          <w:tcPr>
            <w:tcW w:w="992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w:t>
            </w:r>
          </w:p>
        </w:tc>
        <w:tc>
          <w:tcPr>
            <w:tcW w:w="99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preference shares of such series shall be convertible into, or exchangeable for, shares of any other class or any other series of preference shares or any other securities and, if so, the price or prices or the rate or rates of conversion or exchange and the method, if any, of adjusting the same, and any other terms and conditions of conversion or exchange;</w:t>
            </w:r>
          </w:p>
        </w:tc>
      </w:tr>
      <w:tr>
        <w:trPr/>
        <w:tc>
          <w:tcPr>
            <w:tcW w:w="75" w:type="dxa"/>
            <w:tcBorders/>
            <w:vAlign w:val="center"/>
          </w:tcPr>
          <w:p>
            <w:pPr>
              <w:pStyle w:val="TableContents"/>
              <w:bidi w:val="0"/>
              <w:spacing w:before="0" w:after="283"/>
              <w:jc w:val="both"/>
              <w:rPr/>
            </w:pPr>
            <w:r>
              <w:rPr/>
              <w:t> </w:t>
            </w:r>
          </w:p>
        </w:tc>
        <w:tc>
          <w:tcPr>
            <w:tcW w:w="202" w:type="dxa"/>
            <w:tcBorders/>
            <w:vAlign w:val="center"/>
          </w:tcPr>
          <w:p>
            <w:pPr>
              <w:pStyle w:val="TableContents"/>
              <w:bidi w:val="0"/>
              <w:spacing w:before="0" w:after="283"/>
              <w:jc w:val="both"/>
              <w:rPr/>
            </w:pPr>
            <w:r>
              <w:rPr/>
              <w:t> </w:t>
            </w:r>
          </w:p>
        </w:tc>
        <w:tc>
          <w:tcPr>
            <w:tcW w:w="992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w:t>
            </w:r>
          </w:p>
        </w:tc>
        <w:tc>
          <w:tcPr>
            <w:tcW w:w="99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limitations and restrictions, if any, to be effective while any preference shares of such series are outstanding upon the payment of dividends or the making of other distributions on, and upon the purchase, redemption or other acquisition by the Company of, the existing shares or shares of any other class of shares or any other series of preference shares;</w:t>
            </w:r>
          </w:p>
        </w:tc>
      </w:tr>
      <w:tr>
        <w:trPr/>
        <w:tc>
          <w:tcPr>
            <w:tcW w:w="75" w:type="dxa"/>
            <w:tcBorders/>
            <w:vAlign w:val="center"/>
          </w:tcPr>
          <w:p>
            <w:pPr>
              <w:pStyle w:val="TableContents"/>
              <w:bidi w:val="0"/>
              <w:spacing w:before="0" w:after="283"/>
              <w:jc w:val="both"/>
              <w:rPr/>
            </w:pPr>
            <w:r>
              <w:rPr/>
              <w:t> </w:t>
            </w:r>
          </w:p>
        </w:tc>
        <w:tc>
          <w:tcPr>
            <w:tcW w:w="202" w:type="dxa"/>
            <w:tcBorders/>
            <w:vAlign w:val="center"/>
          </w:tcPr>
          <w:p>
            <w:pPr>
              <w:pStyle w:val="TableContents"/>
              <w:bidi w:val="0"/>
              <w:spacing w:before="0" w:after="283"/>
              <w:jc w:val="both"/>
              <w:rPr/>
            </w:pPr>
            <w:r>
              <w:rPr/>
              <w:t> </w:t>
            </w:r>
          </w:p>
        </w:tc>
        <w:tc>
          <w:tcPr>
            <w:tcW w:w="992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w:t>
            </w:r>
          </w:p>
        </w:tc>
        <w:tc>
          <w:tcPr>
            <w:tcW w:w="99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conditions or restrictions, if any, upon the creation of indebtedness of the Company or upon the issue of any additional shares, including additional shares of such series or of any other class of shares or any other series of preference shares; and</w:t>
            </w:r>
          </w:p>
        </w:tc>
      </w:tr>
      <w:tr>
        <w:trPr/>
        <w:tc>
          <w:tcPr>
            <w:tcW w:w="75" w:type="dxa"/>
            <w:tcBorders/>
            <w:vAlign w:val="center"/>
          </w:tcPr>
          <w:p>
            <w:pPr>
              <w:pStyle w:val="TableContents"/>
              <w:bidi w:val="0"/>
              <w:spacing w:before="0" w:after="283"/>
              <w:jc w:val="both"/>
              <w:rPr/>
            </w:pPr>
            <w:r>
              <w:rPr/>
              <w:t> </w:t>
            </w:r>
          </w:p>
        </w:tc>
        <w:tc>
          <w:tcPr>
            <w:tcW w:w="202" w:type="dxa"/>
            <w:tcBorders/>
            <w:vAlign w:val="center"/>
          </w:tcPr>
          <w:p>
            <w:pPr>
              <w:pStyle w:val="TableContents"/>
              <w:bidi w:val="0"/>
              <w:spacing w:before="0" w:after="283"/>
              <w:jc w:val="both"/>
              <w:rPr/>
            </w:pPr>
            <w:r>
              <w:rPr/>
              <w:t> </w:t>
            </w:r>
          </w:p>
        </w:tc>
        <w:tc>
          <w:tcPr>
            <w:tcW w:w="992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w:t>
            </w:r>
          </w:p>
        </w:tc>
        <w:tc>
          <w:tcPr>
            <w:tcW w:w="99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powers, preferences and relative, participating, optional and other special rights, and any qualifications, limitations and restrictions thereof.</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limiting the foregoing and subject to Articles 17.3 and 23.1, the voting powers of any series of preference shares may include the right, in the circumstances specified in the resolution or resolutions providing for the issuance of such preference shares, to elect one or more Directors who shall serve for such term and have such voting powers as shall be stated in the resolution or resolutions providing for the issuance of such preference shares. The term of office and voting powers of any Director elected in the manner provided in the immediately preceding sentence of this Article 3.3 may be greater than or less than those of any other Director.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5"/>
        <w:gridCol w:w="9893"/>
      </w:tblGrid>
      <w:tr>
        <w:trPr/>
        <w:tc>
          <w:tcPr>
            <w:tcW w:w="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3.4</w:t>
            </w:r>
          </w:p>
        </w:tc>
        <w:tc>
          <w:tcPr>
            <w:tcW w:w="98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powers, preferences and relative, participating, optional and other special rights of each series of preference shares, and the qualifications, limitations or restrictions thereof, if any, may differ from those of any and all other series at any time outstanding. All shares of any one series of preference shares shall be identical in all respects with all other shares of such series, except that shares of any one series issued at different times may differ as to the dates from which dividends thereon shall be cumulative.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5"/>
        <w:gridCol w:w="690"/>
        <w:gridCol w:w="9420"/>
      </w:tblGrid>
      <w:tr>
        <w:trPr/>
        <w:tc>
          <w:tcPr>
            <w:tcW w:w="95"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3.5</w:t>
            </w:r>
          </w:p>
        </w:tc>
        <w:tc>
          <w:tcPr>
            <w:tcW w:w="94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shall not issue Shares to bearer.</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6"/>
        <w:gridCol w:w="679"/>
        <w:gridCol w:w="9320"/>
      </w:tblGrid>
      <w:tr>
        <w:trPr/>
        <w:tc>
          <w:tcPr>
            <w:tcW w:w="20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Register of Members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299"/>
        <w:gridCol w:w="9865"/>
      </w:tblGrid>
      <w:tr>
        <w:trPr/>
        <w:tc>
          <w:tcPr>
            <w:tcW w:w="4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w:t>
            </w:r>
          </w:p>
        </w:tc>
        <w:tc>
          <w:tcPr>
            <w:tcW w:w="98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shall maintain or cause to be maintained the Register of Members in accordance with the Statute.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5"/>
        <w:gridCol w:w="9893"/>
      </w:tblGrid>
      <w:tr>
        <w:trPr/>
        <w:tc>
          <w:tcPr>
            <w:tcW w:w="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w:t>
            </w:r>
          </w:p>
        </w:tc>
        <w:tc>
          <w:tcPr>
            <w:tcW w:w="98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determine that the Company shall maintain one or more branch Registers of Members in accordance with the Statute. The Directors may also determine which Register of Members shall constitute the principal register and which shall constitute the branch register or registers, and to vary such determination from time to time.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7"/>
        <w:gridCol w:w="289"/>
        <w:gridCol w:w="9829"/>
      </w:tblGrid>
      <w:tr>
        <w:trPr/>
        <w:tc>
          <w:tcPr>
            <w:tcW w:w="8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82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Closing Register of Members or Fixing Record Date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5"/>
        <w:gridCol w:w="9893"/>
      </w:tblGrid>
      <w:tr>
        <w:trPr/>
        <w:tc>
          <w:tcPr>
            <w:tcW w:w="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w:t>
            </w:r>
          </w:p>
        </w:tc>
        <w:tc>
          <w:tcPr>
            <w:tcW w:w="98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purpose of determining Members entitled to notice of, or to vote at any meeting of Members or any adjournment thereof, or Members entitled to receive payment of any Dividend or other distribution, or in order to make a determination of Members for any other purpose, the Directors may, after notice has been given by advertisement in an appointed newspaper or any other newspaper or by any other means in accordance with the rules and regulations of the Designated Stock Exchange, the Securities and Exchange Commission and/or any other competent regulatory authority or otherwise under Applicable Law, provide that the Register of Members shall be closed for transfers for a stated period which shall not in any case exceed forty days.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5"/>
        <w:gridCol w:w="9893"/>
      </w:tblGrid>
      <w:tr>
        <w:trPr/>
        <w:tc>
          <w:tcPr>
            <w:tcW w:w="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5.2</w:t>
            </w:r>
          </w:p>
        </w:tc>
        <w:tc>
          <w:tcPr>
            <w:tcW w:w="98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lieu of, or apart from, closing the Register of Members, the Directors may fix in advance or arrears a date as the record date for any such determination of Members entitled to notice of, or to vote at any meeting of the Members or any adjournment thereof, or for the purpose of determining the Members entitled to receive payment of any Dividend or other distribution, or in order to make a determination of Members for any other purpose.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5"/>
        <w:gridCol w:w="9893"/>
      </w:tblGrid>
      <w:tr>
        <w:trPr/>
        <w:tc>
          <w:tcPr>
            <w:tcW w:w="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5.3</w:t>
            </w:r>
          </w:p>
        </w:tc>
        <w:tc>
          <w:tcPr>
            <w:tcW w:w="98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Register of Members is not so closed and no record date is fixed for the determination of Members entitled to notice of, or to vote at, a meeting of Members or Members entitled to receive payment of a Dividend or other distribution, the date on which notice of the meeting is sent or the date on which the resolution of the Directors resolving to pay such Dividend or other distribution is passed, as the case may be, shall be the record date for such determination of Members. When a determination of Members entitled to vote at any meeting of Members has been made as provided in this Article, such determination shall apply to any adjournment thereof.</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6"/>
        <w:gridCol w:w="649"/>
        <w:gridCol w:w="9360"/>
      </w:tblGrid>
      <w:tr>
        <w:trPr/>
        <w:tc>
          <w:tcPr>
            <w:tcW w:w="196"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3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Certificates for Shares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5"/>
        <w:gridCol w:w="9893"/>
      </w:tblGrid>
      <w:tr>
        <w:trPr/>
        <w:tc>
          <w:tcPr>
            <w:tcW w:w="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w:t>
            </w:r>
          </w:p>
        </w:tc>
        <w:tc>
          <w:tcPr>
            <w:tcW w:w="98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Member shall only be entitled to a share certificate if the Directors resolve that share certificates shall be issued. Share certificates representing Shares, if any, shall be in such form as the Directors may determine. Share certificates shall be signed by one or more Directors or other Person authorised by the Directors. The Directors may authorise certificates to be issued with the authorised signature(s) affixed by mechanical process. All certificates for Shares shall be consecutively numbered or otherwise identified and shall specify the Shares to which they relate. All share certificates shall bear legends required under the Applicable Laws, including the Securities Act. All certificates surrendered to the Company for transfer shall be cancelled and, subject to the Articles, no new certificate shall be issued until the former certificate representing a like number of relevant Shares shall have been surrendered and cancelled.</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5"/>
        <w:gridCol w:w="9893"/>
      </w:tblGrid>
      <w:tr>
        <w:trPr/>
        <w:tc>
          <w:tcPr>
            <w:tcW w:w="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6.2</w:t>
            </w:r>
          </w:p>
        </w:tc>
        <w:tc>
          <w:tcPr>
            <w:tcW w:w="98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shall not be bound to issue more than one certificate for Shares held jointly by more than one Person and delivery of a certificate to one joint holder shall be a sufficient delivery to all of them.</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5"/>
        <w:gridCol w:w="9893"/>
      </w:tblGrid>
      <w:tr>
        <w:trPr/>
        <w:tc>
          <w:tcPr>
            <w:tcW w:w="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6.3</w:t>
            </w:r>
          </w:p>
        </w:tc>
        <w:tc>
          <w:tcPr>
            <w:tcW w:w="98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 share certificate is defaced, worn out, lost or destroyed, it may be renewed on such terms (if any) as to evidence and indemnity and on the payment of such expenses reasonably incurred by the Company in investigating evidence, as the Directors may prescribe, and (in the case of defacement or wearing out) upon delivery of the old certificate.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5"/>
        <w:gridCol w:w="9893"/>
      </w:tblGrid>
      <w:tr>
        <w:trPr/>
        <w:tc>
          <w:tcPr>
            <w:tcW w:w="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6.4</w:t>
            </w:r>
          </w:p>
        </w:tc>
        <w:tc>
          <w:tcPr>
            <w:tcW w:w="98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Every share certificate sent in accordance with the Articles will be sent at the risk of the Member or other Person entitled to the certificate. The Company will not be responsible for any share certificate lost or delayed in the course of delivery.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5"/>
        <w:gridCol w:w="9893"/>
      </w:tblGrid>
      <w:tr>
        <w:trPr/>
        <w:tc>
          <w:tcPr>
            <w:tcW w:w="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6.5</w:t>
            </w:r>
          </w:p>
        </w:tc>
        <w:tc>
          <w:tcPr>
            <w:tcW w:w="98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 certificates shall be issued within the relevant time limit as prescribed by the Statute, if applicable, or as the rules and regulations of the Designated Stock Exchange, the Securities and Exchange Commission and/or any other competent regulatory authority or otherwise under Applicable Law may from time to time determine, whichever is shorter, after the allotment or, except in the case of a Share transfer which the Company is for the time being entitled to refuse to register and does not register, after lodgement of a Share transfer with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6"/>
        <w:gridCol w:w="779"/>
        <w:gridCol w:w="9190"/>
      </w:tblGrid>
      <w:tr>
        <w:trPr/>
        <w:tc>
          <w:tcPr>
            <w:tcW w:w="23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1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Transfer of Shares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5"/>
        <w:gridCol w:w="9893"/>
      </w:tblGrid>
      <w:tr>
        <w:trPr/>
        <w:tc>
          <w:tcPr>
            <w:tcW w:w="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w:t>
            </w:r>
          </w:p>
        </w:tc>
        <w:tc>
          <w:tcPr>
            <w:tcW w:w="98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terms of the Articles and the lock-up restrictions under Section 6.17 of the Merger Agreement, any Member may transfer all or any of his Shares by an instrument of transfer provided that such transfer complies with the rules and regulations of the Designated Stock Exchange, the Securities and Exchange Commission and/or any other competent regulatory authority or otherwise under Applicable Law. If the Shares in question were issued in conjunction with rights, options, warrants or units issued pursuant to the Articles on terms that one cannot be transferred without the other, the Directors shall refuse to register the transfer of any such Share without evidence satisfactory to them of the like transfer of such right, option, warrant or unit.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5"/>
        <w:gridCol w:w="9893"/>
      </w:tblGrid>
      <w:tr>
        <w:trPr/>
        <w:tc>
          <w:tcPr>
            <w:tcW w:w="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7.2</w:t>
            </w:r>
          </w:p>
        </w:tc>
        <w:tc>
          <w:tcPr>
            <w:tcW w:w="98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instrument of transfer of any Share shall be in writing in the usual or common form or in a form prescribed by the rules and regulations of the Designated Stock Exchange, the Securities and Exchange Commission and/or any other competent regulatory authority or otherwise under Applicable Law or in any other form approved by the Directors and shall be executed by or on behalf of the transferor (and if the Directors so require, signed by or on behalf of the transferee) and may be under hand or, if the transferor or transferee is a Clearing House or its nominee(s), by hand or by machine imprinted signature or by such other manner of execution as the Directors may approve from time to time. The transferor shall be deemed to remain the holder of a Share until the name of the transferee is entered in the Register of Members.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2"/>
        <w:gridCol w:w="305"/>
        <w:gridCol w:w="9808"/>
      </w:tblGrid>
      <w:tr>
        <w:trPr/>
        <w:tc>
          <w:tcPr>
            <w:tcW w:w="9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80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Redemption, Repurchase and Surrender of Shares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5"/>
        <w:gridCol w:w="9893"/>
      </w:tblGrid>
      <w:tr>
        <w:trPr/>
        <w:tc>
          <w:tcPr>
            <w:tcW w:w="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8.1</w:t>
            </w:r>
          </w:p>
        </w:tc>
        <w:tc>
          <w:tcPr>
            <w:tcW w:w="98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provisions of the Statute, and, where applicable, the rules and regulations of the Designated Stock Exchange, the Securities and Exchange Commission and/or any other competent regulatory authority or otherwise under Applicable Law, the Company may issue Shares that are to be redeemed or are liable to be redeemed at the option of the Member or the Company. The redemption of such Shares shall be effected in such manner and upon such other terms as the Company may, by Special Resolution, determine before the issue of such Shares.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5"/>
        <w:gridCol w:w="9893"/>
      </w:tblGrid>
      <w:tr>
        <w:trPr/>
        <w:tc>
          <w:tcPr>
            <w:tcW w:w="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8.2</w:t>
            </w:r>
          </w:p>
        </w:tc>
        <w:tc>
          <w:tcPr>
            <w:tcW w:w="98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provisions of the Statute, and, where applicable, the rules and regulations of the Designated Stock Exchange, the Securities and Exchange Commission and/or any other competent regulatory authority or otherwise under Applicable Law, the Company may purchase its own Shares (including any redeemable Shares) in such manner and on such other terms as the Directors may agree with the relevant Member. For the avoidance of doubt, redemptions, repurchases and surrenders of Shares in the circumstances described in the Article above shall not require further approval of the Members.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5"/>
        <w:gridCol w:w="9893"/>
      </w:tblGrid>
      <w:tr>
        <w:trPr/>
        <w:tc>
          <w:tcPr>
            <w:tcW w:w="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8.3</w:t>
            </w:r>
          </w:p>
        </w:tc>
        <w:tc>
          <w:tcPr>
            <w:tcW w:w="98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may make a payment in respect of the redemption or purchase of its own Shares in any manner permitted by the Statute, including out of capital.</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394"/>
        <w:gridCol w:w="9757"/>
      </w:tblGrid>
      <w:tr>
        <w:trPr/>
        <w:tc>
          <w:tcPr>
            <w:tcW w:w="5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8.4</w:t>
            </w:r>
          </w:p>
        </w:tc>
        <w:tc>
          <w:tcPr>
            <w:tcW w:w="97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accept the surrender for no consideration of any fully paid Share.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63"/>
        <w:gridCol w:w="866"/>
        <w:gridCol w:w="9076"/>
      </w:tblGrid>
      <w:tr>
        <w:trPr/>
        <w:tc>
          <w:tcPr>
            <w:tcW w:w="26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90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Treasury Shares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5"/>
        <w:gridCol w:w="9893"/>
      </w:tblGrid>
      <w:tr>
        <w:trPr/>
        <w:tc>
          <w:tcPr>
            <w:tcW w:w="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9.1</w:t>
            </w:r>
          </w:p>
        </w:tc>
        <w:tc>
          <w:tcPr>
            <w:tcW w:w="98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prior to the purchase, redemption or surrender of any Share, determine that such Share shall be held as a Treasury Share.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5"/>
        <w:gridCol w:w="9893"/>
      </w:tblGrid>
      <w:tr>
        <w:trPr/>
        <w:tc>
          <w:tcPr>
            <w:tcW w:w="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9.2</w:t>
            </w:r>
          </w:p>
        </w:tc>
        <w:tc>
          <w:tcPr>
            <w:tcW w:w="98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determine to cancel a Treasury Share or transfer a Treasury Share on such terms as they think proper (including, without limitation, for nil consideration).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6"/>
        <w:gridCol w:w="888"/>
        <w:gridCol w:w="9171"/>
      </w:tblGrid>
      <w:tr>
        <w:trPr/>
        <w:tc>
          <w:tcPr>
            <w:tcW w:w="146"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91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Variation of Rights of Shares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Subject to Articles 3.1 and 17.3, if at any time the share capital of the Company is divided into different classes of Shares, all or any of the rights attached to any class (unless otherwise provided by the terms of issue of the Shares of that class) may, whether or not the Company is being wound up, be varied without the consent of the holders of the issued Shares of that class where such variation is considered by the Directors not to have a material adverse effect upon such rights; otherwise, any such variation shall be made only with the consent in writing of the holders of not less than two thirds of the issued Shares of that class or with the approval of a resolution passed by a majority of not less than two thirds of the votes cast at a separate meeting of the holders of the Shares of that class. For the avoidance of doubt, the Directors reserve the right, notwithstanding that any such variation may not have a material adverse effect, to obtain consent from the holders of Shares of the relevant class. To any such meeting all the provisions of the Articles relating to general meetings shall apply </w:t>
            </w:r>
            <w:r>
              <w:rPr>
                <w:rFonts w:ascii="Times New Roman;Times;Serif" w:hAnsi="Times New Roman;Times;Serif"/>
                <w:i/>
                <w:sz w:val="20"/>
              </w:rPr>
              <w:t>mutatis mutandis</w:t>
            </w:r>
            <w:r>
              <w:rPr>
                <w:rFonts w:ascii="Times New Roman;Times;Serif" w:hAnsi="Times New Roman;Times;Serif"/>
                <w:sz w:val="20"/>
              </w:rPr>
              <w:t>, except that the necessary quorum shall be one Person holding or representing by proxy at least one third of the issued Shares of the class and that any holder of Shares of the class present in Person or by proxy may demand a poll.</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provisions of these Articles relating to general meetings shall apply to every such general meeting of the holders of one class or series of shares, except the following:</w:t>
            </w:r>
          </w:p>
        </w:tc>
      </w:tr>
    </w:tbl>
    <w:p>
      <w:pPr>
        <w:pStyle w:val="TextBody"/>
        <w:bidi w:val="0"/>
        <w:spacing w:before="0" w:after="0"/>
        <w:ind w:left="1166" w:right="0" w:hanging="446"/>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305"/>
        <w:gridCol w:w="9850"/>
      </w:tblGrid>
      <w:tr>
        <w:trPr/>
        <w:tc>
          <w:tcPr>
            <w:tcW w:w="5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8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separate general meetings of the holders of a class or series of shares may be called only by:</w:t>
            </w:r>
          </w:p>
        </w:tc>
      </w:tr>
    </w:tbl>
    <w:p>
      <w:pPr>
        <w:pStyle w:val="TextBody"/>
        <w:bidi w:val="0"/>
        <w:spacing w:before="0" w:after="0"/>
        <w:ind w:left="2160" w:right="0" w:hanging="720"/>
        <w:jc w:val="both"/>
        <w:rPr>
          <w:caps w:val="false"/>
          <w:smallCaps w:val="false"/>
        </w:rPr>
      </w:pPr>
      <w:r>
        <w:rPr>
          <w:caps w:val="false"/>
          <w:smallCaps w:val="false"/>
        </w:rPr>
        <w:t> </w:t>
      </w:r>
    </w:p>
    <w:tbl>
      <w:tblPr>
        <w:tblW w:w="2328" w:type="dxa"/>
        <w:jc w:val="left"/>
        <w:tblInd w:w="0" w:type="dxa"/>
        <w:tblLayout w:type="fixed"/>
        <w:tblCellMar>
          <w:top w:w="0" w:type="dxa"/>
          <w:left w:w="0" w:type="dxa"/>
          <w:bottom w:w="0" w:type="dxa"/>
          <w:right w:w="0" w:type="dxa"/>
        </w:tblCellMar>
      </w:tblPr>
      <w:tblGrid>
        <w:gridCol w:w="38"/>
        <w:gridCol w:w="200"/>
        <w:gridCol w:w="209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2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Chairman, if any; and</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216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6"/>
        <w:gridCol w:w="9911"/>
      </w:tblGrid>
      <w:tr>
        <w:trPr/>
        <w:tc>
          <w:tcPr>
            <w:tcW w:w="3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majority of all of the Directors (unless otherwise specifically provided by the terms of issue of the shares of such class or series),</w:t>
            </w:r>
          </w:p>
        </w:tc>
      </w:tr>
    </w:tbl>
    <w:p>
      <w:pPr>
        <w:pStyle w:val="TextBody"/>
        <w:bidi w:val="0"/>
        <w:spacing w:before="0" w:after="0"/>
        <w:ind w:left="1170" w:right="0" w:hanging="45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except as set forth in clause (a) above, nothing in this Article 10 shall be deemed to give any Member the right to call a class or series meeting; and</w:t>
            </w:r>
          </w:p>
        </w:tc>
      </w:tr>
    </w:tbl>
    <w:p>
      <w:pPr>
        <w:pStyle w:val="TextBody"/>
        <w:bidi w:val="0"/>
        <w:spacing w:before="0" w:after="0"/>
        <w:ind w:left="1170" w:right="0" w:hanging="45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8"/>
        <w:gridCol w:w="9970"/>
      </w:tblGrid>
      <w:tr>
        <w:trPr/>
        <w:tc>
          <w:tcPr>
            <w:tcW w:w="3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necessary quorum shall be one or more Persons holding or representing by proxy at least one-third of the issued shares of the class or series and that any holder of shares of the class or series present in person or by proxy may demand a poll.</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rights conferred upon the holders of the Shares of any class issued with preferred or other rights shall not, unless otherwise expressly provided by the terms of issue of the Shares of that class, be deemed to be varied by the creation or issue of further Shares ranking </w:t>
            </w:r>
            <w:r>
              <w:rPr>
                <w:rFonts w:ascii="Times New Roman;Times;Serif" w:hAnsi="Times New Roman;Times;Serif"/>
                <w:i/>
                <w:sz w:val="20"/>
              </w:rPr>
              <w:t>pari passu</w:t>
            </w:r>
            <w:r>
              <w:rPr>
                <w:rFonts w:ascii="Times New Roman;Times;Serif" w:hAnsi="Times New Roman;Times;Serif"/>
                <w:sz w:val="20"/>
              </w:rPr>
              <w:t xml:space="preserve"> therewith or Shares issued with preferred or other rights.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1"/>
        <w:gridCol w:w="854"/>
        <w:gridCol w:w="9210"/>
      </w:tblGrid>
      <w:tr>
        <w:trPr/>
        <w:tc>
          <w:tcPr>
            <w:tcW w:w="14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92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Commission on Sale of Shares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in so far as the Statute permits, pay a commission to any Person in consideration of his subscribing or agreeing to subscribe (whether absolutely or conditionally) or procuring or agreeing to procure subscriptions (whether absolutely or conditionally) for any Shares. Such commissions may be satisfied by the payment of cash and/or the issue of fully or partly paid-up Shares. The Company may also on any issue of Shares pay such brokerage as may be lawful.</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7"/>
        <w:gridCol w:w="953"/>
        <w:gridCol w:w="9095"/>
      </w:tblGrid>
      <w:tr>
        <w:trPr/>
        <w:tc>
          <w:tcPr>
            <w:tcW w:w="157"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90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Non Recognition of Trusts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Person shall be recognised by the Company as holding any share upon any trust (other than any trust recognized as a Permitted Entity or Permitted Transferee). The Company shall not be bound by or compelled to recognise in any way (even when notified) any equitable, contingent, future or partial interest in any Share, or (except only as is otherwise provided by the Articles or the Statute) any other rights in respect of any Share other than an absolute right to the entirety thereof in the holder.</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57"/>
        <w:gridCol w:w="1562"/>
        <w:gridCol w:w="8386"/>
      </w:tblGrid>
      <w:tr>
        <w:trPr/>
        <w:tc>
          <w:tcPr>
            <w:tcW w:w="257"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83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Lien on Shares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13.1</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shall have a first and paramount lien on all Shares (whether fully paid-up or not) registered in the name of a Member (whether solely or jointly with others) for all debts, liabilities or engagements to or with the Company (whether presently payable or not) by such Member or his estate, either alone or jointly with any other Person, whether a Member or not, but the Directors may at any time declare any Share to be wholly or in part exempt from the provisions of this Article. The registration of a transfer of any such Share shall operate as a waiver of the Company’s lien thereon. The Company’s lien on a Share shall also extend to any amount payable in respect of that Share.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13.2</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may sell, in such manner as the Directors think fit, any Shares on which the Company has a lien, if a sum in respect of which the lien exists is presently payable, and is not paid within fourteen clear days after notice has been received or deemed to have been received by the holder of the Shares, or to the Person entitled to it in consequence of the death or bankruptcy of the holder, demanding payment and stating that if the notice is not complied with the Shares may be sold.</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13.3</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give effect to any such sale the Directors may authorise any Person to execute an instrument of transfer of the Shares sold to, or in accordance with the directions of, the purchaser. The purchaser or his nominee shall be registered as the holder of the Shares comprised in any such transfer, and he shall not be bound to see to the application of the purchase money, nor shall his title to the Shares be affected by any irregularity or invalidity in the sale or the exercise of the Company’s power of sale under the Articles.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13.4</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net proceeds of such sale after payment of costs, shall be applied in payment of such part of the amount in respect of which the lien exists as is presently payable and any balance shall (subject to a like lien for sums not presently payable as existed upon the Shares before the sale) be paid to the Person entitled to the Shares at the date of the sale.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63"/>
        <w:gridCol w:w="1593"/>
        <w:gridCol w:w="8349"/>
      </w:tblGrid>
      <w:tr>
        <w:trPr/>
        <w:tc>
          <w:tcPr>
            <w:tcW w:w="263"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w:t>
            </w:r>
          </w:p>
        </w:tc>
        <w:tc>
          <w:tcPr>
            <w:tcW w:w="83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Call on Shares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14.1</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terms of the allotment and issue of any Shares, the Directors may make calls upon the Members in respect of any monies unpaid on their Shares (whether in respect of par value or premium), and each Member shall (subject to receiving at least fourteen clear days’ notice specifying the time or times of payment) pay to the Company at the time or times so specified the amount called on the Shares. A call may be revoked or postponed, in whole or in part, as the Directors may determine. A call may be required to be paid by instalments. A Person upon whom a call is made shall remain liable for calls made upon him notwithstanding the subsequent transfer of the Shares in respect of which the call was made.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14.2</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call shall be deemed to have been made at the time when the resolution of the Directors authorising such call was passed.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466"/>
        <w:gridCol w:w="9693"/>
      </w:tblGrid>
      <w:tr>
        <w:trPr/>
        <w:tc>
          <w:tcPr>
            <w:tcW w:w="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14.3</w:t>
            </w:r>
          </w:p>
        </w:tc>
        <w:tc>
          <w:tcPr>
            <w:tcW w:w="96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joint holders of a Share shall be jointly and severally liable to pay all calls in respect thereof.</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14.4</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 call remains unpaid after it has become due and payable, the Person from whom it is due shall pay interest on the amount unpaid from the day it became due and payable until it is paid at such rate as the Directors may determine (and in addition all expenses that have been incurred by the Company by reason of such non-payment), but the Directors may waive payment of the interest or expenses wholly or in part.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14.5</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amount payable in respect of a Share on issue or allotment or at any fixed date, whether on account of the par value of the Share or premium or otherwise, shall be deemed to be a call and if it is not paid all the provisions of the Articles shall apply as if that amount had become due and payable by virtue of a call.</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14.6</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issue Shares with different terms as to the amount and times of payment of calls, or the interest to be paid.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14.7</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if they think fit, receive an amount from any Member willing to advance all or any part of the monies uncalled and unpaid upon any Shares held by him, and may (until the amount would otherwise become payable) pay interest at such rate as may be agreed upon between the Directors and the Member paying such amount in advance.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14.8</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such amount paid in advance of calls shall entitle the Member paying such amount to any portion of a Dividend or other distribution payable in respect of any period prior to the date upon which such amount would, but for such payment, become payable.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6"/>
        <w:gridCol w:w="1250"/>
        <w:gridCol w:w="8749"/>
      </w:tblGrid>
      <w:tr>
        <w:trPr/>
        <w:tc>
          <w:tcPr>
            <w:tcW w:w="206"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w:t>
            </w:r>
          </w:p>
        </w:tc>
        <w:tc>
          <w:tcPr>
            <w:tcW w:w="87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Forfeiture of Shares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15.1</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 call or instalment of a call remains unpaid after it has become due and payable the Directors may give to the Person from whom it is due not less than fourteen clear days’ notice requiring payment of the amount unpaid together with any interest which may have accrued and any expenses incurred by the Company by reason of such non-payment. The notice shall specify where payment is to be made and shall state that if the notice is not complied with the Shares in respect of which the call was made will be liable to be forfeited.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15.2</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notice is not complied with, any Share in respect of which it was given may, before the payment required by the notice has been made, be forfeited by a resolution of the Directors. Such forfeiture shall include all Dividends, other distributions or other monies payable in respect of the forfeited Share and not paid before the forfeiture.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15.3</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forfeited Share (other than a Class B Share) may be sold, re-allotted or otherwise disposed of on such terms and in such manner as the Directors think fit and at any time before a sale, re-allotment or disposition the forfeiture may be cancelled on such terms as the Directors think fit. Where for the purposes of its disposal a forfeited Share is to be transferred to any Person the Directors may authorise some Person to execute an instrument of transfer of the Share in favour of that Person.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15.4</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Person any of whose Shares have been forfeited shall cease to be a Member in respect of them and shall surrender to the Company for cancellation the certificate for the Shares forfeited and shall remain liable to pay to the Company all monies which at the date of forfeiture were payable by him to the Company in respect of those Shares together with interest at such rate as the Directors may determine, but his liability shall cease if and when the Company shall have received payment in full of all monies due and payable by him in respect of those Shares.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15.5</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certificate in writing under the hand of one Director or Officer that a Share has been forfeited on a specified date shall be conclusive evidence of the facts stated in it as against all Persons claiming to be entitled to the Share. The certificate shall (subject to the execution of an instrument of transfer) constitute a good title to the Share and the Person to whom the Share is sold or otherwise disposed of shall not be bound to see to the application of the purchase money, if any, nor shall his title to the Share be affected by any irregularity or invalidity in the proceedings in reference to the forfeiture, sale or disposal of the Share.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15.6</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provisions of the Articles as to forfeiture shall apply in the case of non-payment of any sum which, by the terms of issue of a Share, becomes payable at a fixed time, whether on account of the par value of the Share or by way of premium as if it had been payable by virtue of a call duly made and notified.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9"/>
        <w:gridCol w:w="1085"/>
        <w:gridCol w:w="8941"/>
      </w:tblGrid>
      <w:tr>
        <w:trPr/>
        <w:tc>
          <w:tcPr>
            <w:tcW w:w="17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w:t>
            </w:r>
          </w:p>
        </w:tc>
        <w:tc>
          <w:tcPr>
            <w:tcW w:w="894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Transmission of Shares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16.1</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 Member dies, the survivor or survivors (where he was a joint holder), or his legal personal representatives (where he was a sole holder), shall be the only Persons recognised by the Company as having any title to his Shares. The estate of a deceased Member is not thereby released from any liability in respect of any Share, for which he was a joint or sole holder.</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16.2</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Person becoming entitled to a Share in consequence of the death or bankruptcy or liquidation or dissolution of a Member (or in any other way than by transfer) may, upon such evidence being produced as may be required by the Directors, elect, by a notice in writing sent by him to the Company, either to become the holder of such Share or to have some Person nominated by him registered as the holder of such Share. If he elects to have another Person registered as the holder of such Share he shall sign an instrument of transfer of that Share to that Person. The Directors shall, in either case, have the same right to decline or suspend registration as they would have had in the case of a transfer of the Share by the relevant Member before his death or bankruptcy or liquidation or dissolution, as the case may be.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16.3</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Person becoming entitled to a Share by reason of the death or bankruptcy or liquidation or dissolution of a Member (or in any other case than by transfer) shall be entitled to the same Dividends, other distributions and other advantages to which he would be entitled if he were the holder of such Share. However, he shall not, before becoming a Member in respect of a Share, be entitled in respect of it to exercise any right conferred by membership in relation to general meetings of the Company and the Directors may at any time give notice requiring any such Person to elect either to be registered himself or to have some Person nominated by him be registered as the holder of the Share (but the Directors shall, in either case, have the same right to decline or suspend registration as they would have had in the case of a transfer of the Share by the relevant Member before his death or bankruptcy or liquidation or dissolution or any other case than by transfer, as the case may be). If the notice is not complied with within ninety days of being received or deemed to be received (as determined pursuant to the Articles), the Directors may thereafter withhold payment of all Dividends, other distributions, bonuses or other monies payable in respect of the Share until the requirements of the notice have been complied with.</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4"/>
        <w:gridCol w:w="509"/>
        <w:gridCol w:w="9612"/>
      </w:tblGrid>
      <w:tr>
        <w:trPr/>
        <w:tc>
          <w:tcPr>
            <w:tcW w:w="84"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w:t>
            </w:r>
          </w:p>
        </w:tc>
        <w:tc>
          <w:tcPr>
            <w:tcW w:w="96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Rights and Restrictions Attaching to Ordinary Shares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17.1</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Except as otherwise included in these Articles (including Articles 17.3 and 23.1), the rights attaching to the Class A Shares and Class B Shares shall have the same rights and powers, and rank </w:t>
            </w:r>
            <w:r>
              <w:rPr>
                <w:rFonts w:ascii="Times New Roman;Times;Serif" w:hAnsi="Times New Roman;Times;Serif"/>
                <w:i/>
                <w:sz w:val="20"/>
              </w:rPr>
              <w:t>pari passu</w:t>
            </w:r>
            <w:r>
              <w:rPr>
                <w:rFonts w:ascii="Times New Roman;Times;Serif" w:hAnsi="Times New Roman;Times;Serif"/>
                <w:sz w:val="20"/>
              </w:rPr>
              <w:t xml:space="preserve"> in all respects (including as to dividends, distributions, and upon the occurrence of any liquidation or winding up of the Company), share ratably and be identical in all respects as to all matters, unless different treatment of the shares of each such class is approved by the affirmative vote of the holders of the Class A Shares and the Class B Shares, each voting exclusively and as a separate class.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17.2</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Holders of Ordinary Shares have the right to receive notice of, attend, speak and vote at general meetings of the Company. Except as set forth in these Articles (including Articles 17.3, 17.4 and 23.1), holders of Class A Shares and Class B Shares shall at all times vote together as one class on all matters submitted to a vote for Members’ consent. On all matters subject to a vote of the Members, Ordinary Shares shall be entitled to the voting rights as set forth in Article 23.</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17.3</w:t>
            </w:r>
          </w:p>
        </w:tc>
        <w:tc>
          <w:tcPr>
            <w:tcW w:w="9788" w:type="dxa"/>
            <w:tcBorders/>
            <w:vAlign w:val="center"/>
          </w:tcPr>
          <w:p>
            <w:pPr>
              <w:pStyle w:val="TableContents"/>
              <w:bidi w:val="0"/>
              <w:spacing w:before="0" w:after="283"/>
              <w:jc w:val="both"/>
              <w:rPr/>
            </w:pPr>
            <w:r>
              <w:rPr/>
              <w:t>In addition to any rights provided by Applicable Law or otherwise set forth in these Articles, the Company shall not, without the approval by vote or written consent of the holders of a majority of the voting power of the Class B Shares, voting exclusively and as a separate class, directly or indirectly, or whether by amendment or through merger, recapitalization, consolidation or otherwise:</w:t>
            </w:r>
          </w:p>
        </w:tc>
      </w:tr>
    </w:tbl>
    <w:p>
      <w:pPr>
        <w:pStyle w:val="TextBody"/>
        <w:bidi w:val="0"/>
        <w:spacing w:before="0" w:after="0"/>
        <w:ind w:left="1170" w:right="0" w:hanging="45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6"/>
        <w:gridCol w:w="551"/>
        <w:gridCol w:w="9578"/>
      </w:tblGrid>
      <w:tr>
        <w:trPr/>
        <w:tc>
          <w:tcPr>
            <w:tcW w:w="7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pPr>
            <w:r>
              <w:rPr/>
              <w:t>(a)</w:t>
            </w:r>
          </w:p>
        </w:tc>
        <w:tc>
          <w:tcPr>
            <w:tcW w:w="9578" w:type="dxa"/>
            <w:tcBorders/>
            <w:vAlign w:val="center"/>
          </w:tcPr>
          <w:p>
            <w:pPr>
              <w:pStyle w:val="TableContents"/>
              <w:bidi w:val="0"/>
              <w:spacing w:before="0" w:after="283"/>
              <w:jc w:val="left"/>
              <w:rPr/>
            </w:pPr>
            <w:r>
              <w:rPr/>
              <w:t>increase the number of authorized Class B Shares;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8"/>
        <w:gridCol w:w="9900"/>
      </w:tblGrid>
      <w:tr>
        <w:trPr/>
        <w:tc>
          <w:tcPr>
            <w:tcW w:w="3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pPr>
            <w:r>
              <w:rPr/>
              <w:t>(b)</w:t>
            </w:r>
          </w:p>
        </w:tc>
        <w:tc>
          <w:tcPr>
            <w:tcW w:w="9900" w:type="dxa"/>
            <w:tcBorders/>
            <w:vAlign w:val="center"/>
          </w:tcPr>
          <w:p>
            <w:pPr>
              <w:pStyle w:val="TableContents"/>
              <w:bidi w:val="0"/>
              <w:spacing w:before="0" w:after="283"/>
              <w:jc w:val="left"/>
              <w:rPr/>
            </w:pPr>
            <w:r>
              <w:rPr/>
              <w:t>issue any Class B Shares or securities convertible into or exchangeable for Class B Shares, other than to any Sponsor or his Permitted Entities;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0"/>
        <w:gridCol w:w="9918"/>
      </w:tblGrid>
      <w:tr>
        <w:trPr/>
        <w:tc>
          <w:tcPr>
            <w:tcW w:w="3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(c)</w:t>
            </w:r>
          </w:p>
        </w:tc>
        <w:tc>
          <w:tcPr>
            <w:tcW w:w="9918" w:type="dxa"/>
            <w:tcBorders/>
            <w:vAlign w:val="center"/>
          </w:tcPr>
          <w:p>
            <w:pPr>
              <w:pStyle w:val="TableContents"/>
              <w:bidi w:val="0"/>
              <w:spacing w:before="0" w:after="283"/>
              <w:jc w:val="left"/>
              <w:rPr/>
            </w:pPr>
            <w:r>
              <w:rPr/>
              <w:t>create, authorize, issue, or reclassify into, any preference shares or any shares in the capital of the Company that carry more than one (1) vote per share;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1170" w:right="0" w:hanging="4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reclassify any Class B Shares into any other class of shares or consolidate or combine any Class B Shares without proportionately increasing the number of votes per Class B Share; or</w:t>
            </w:r>
          </w:p>
        </w:tc>
      </w:tr>
    </w:tbl>
    <w:p>
      <w:pPr>
        <w:pStyle w:val="TextBody"/>
        <w:bidi w:val="0"/>
        <w:spacing w:before="0" w:after="0"/>
        <w:ind w:left="1170" w:right="0" w:hanging="4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7"/>
        <w:gridCol w:w="9970"/>
      </w:tblGrid>
      <w:tr>
        <w:trPr/>
        <w:tc>
          <w:tcPr>
            <w:tcW w:w="3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9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amend, restate, waive, adopt any provision inconsistent with or otherwise vary or alter any provision of the Memorandum or these Articles relating to the voting, conversion or other rights, powers, preferences, privileges or restrictions of the Class B Shares.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8"/>
        <w:gridCol w:w="791"/>
        <w:gridCol w:w="9336"/>
      </w:tblGrid>
      <w:tr>
        <w:trPr/>
        <w:tc>
          <w:tcPr>
            <w:tcW w:w="7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17.4</w:t>
            </w:r>
          </w:p>
        </w:tc>
        <w:tc>
          <w:tcPr>
            <w:tcW w:w="93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Optional and Automatic Conversion of Class B Shares:</w:t>
            </w:r>
          </w:p>
        </w:tc>
      </w:tr>
    </w:tbl>
    <w:p>
      <w:pPr>
        <w:pStyle w:val="TextBody"/>
        <w:bidi w:val="0"/>
        <w:spacing w:before="0" w:after="0"/>
        <w:ind w:left="1166" w:right="0" w:hanging="446"/>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(a)</w:t>
            </w:r>
          </w:p>
        </w:tc>
        <w:tc>
          <w:tcPr>
            <w:tcW w:w="9950" w:type="dxa"/>
            <w:tcBorders/>
            <w:vAlign w:val="center"/>
          </w:tcPr>
          <w:p>
            <w:pPr>
              <w:pStyle w:val="TableContents"/>
              <w:bidi w:val="0"/>
              <w:spacing w:before="0" w:after="283"/>
              <w:jc w:val="both"/>
              <w:rPr/>
            </w:pPr>
            <w:r>
              <w:rPr/>
              <w:t>subject to the lock-up restrictions under Section 6.17 of the Merger Agreement, each Class B Share is convertible into one (1) Class A Share (as adjusted for share splits, share combinations and similar transactions occurring after the date of these Articles) at any time at the option of the holder thereof. In no event shall any Class A Share be convertible into any Class B Shares;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0"/>
        <w:gridCol w:w="9928"/>
      </w:tblGrid>
      <w:tr>
        <w:trPr/>
        <w:tc>
          <w:tcPr>
            <w:tcW w:w="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(b)</w:t>
            </w:r>
          </w:p>
        </w:tc>
        <w:tc>
          <w:tcPr>
            <w:tcW w:w="9928" w:type="dxa"/>
            <w:tcBorders/>
            <w:vAlign w:val="center"/>
          </w:tcPr>
          <w:p>
            <w:pPr>
              <w:pStyle w:val="TableContents"/>
              <w:bidi w:val="0"/>
              <w:spacing w:before="0" w:after="283"/>
              <w:jc w:val="both"/>
              <w:rPr/>
            </w:pPr>
            <w:r>
              <w:rPr/>
              <w:t>each Class B Share beneficially owned by a Sponsor will automatically convert into one (1) Class A Share (as adjusted for share splits, share combinations and similar transactions occurring after the date of these Articles) on the first anniversary of such Sponsor’s death or Incapacity;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(c)</w:t>
            </w:r>
          </w:p>
        </w:tc>
        <w:tc>
          <w:tcPr>
            <w:tcW w:w="9930" w:type="dxa"/>
            <w:tcBorders/>
            <w:vAlign w:val="center"/>
          </w:tcPr>
          <w:p>
            <w:pPr>
              <w:pStyle w:val="TableContents"/>
              <w:bidi w:val="0"/>
              <w:spacing w:before="0" w:after="283"/>
              <w:jc w:val="both"/>
              <w:rPr/>
            </w:pPr>
            <w:r>
              <w:rPr/>
              <w:t>save for the issuances of Class B Shares contemplated by the Merger Agreement, no Class B Shares shall be issued by the Company after conversion of all Class B Shares into Class A Shares;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(d)</w:t>
            </w:r>
          </w:p>
        </w:tc>
        <w:tc>
          <w:tcPr>
            <w:tcW w:w="9948" w:type="dxa"/>
            <w:tcBorders/>
            <w:vAlign w:val="center"/>
          </w:tcPr>
          <w:p>
            <w:pPr>
              <w:pStyle w:val="TableContents"/>
              <w:bidi w:val="0"/>
              <w:spacing w:before="0" w:after="283"/>
              <w:jc w:val="both"/>
              <w:rPr/>
            </w:pPr>
            <w:r>
              <w:rPr/>
              <w:t>subject to the lock-up restrictions under Section 6.17 of the Merger Agreement, upon any sale, pledge, transfer, assignment or other disposition of Class B Shares by a holder thereof to any Person which is not a Permitted Transferee of such holder, each such Class B Share shall be automatically and immediately converted into one (1) Class A Share (as adjusted for share splits, share combinations and similar transactions occurring after the date of these Articles); provided that, notwithstanding anything to the contrary in these Articles, any pledge of Class B Shares by a holder thereof that creates a security interest in such Class B Shares pursuant to a bona fide loan or indebtedness transaction shall be permitted (and not result in any such conversion) for so long as such holder continues to control, directly or indirectly, the exercise of the voting rights of such pledged Class B Shares; provided, further, however, that a foreclosure on such Class B Shares or other similar action by the pledgee will result in automatic and immediate conversion of such Class B Shares into Class A Shares unless the transferee in such foreclosure or similar action qualifies as a Permitted Transferee at such time. For the avoidance of doubt, any sale, pledge, transfer, assignment or disposition of Class B Shares to a Permitted Transferee does not result in automatic conversion into Class A Shares.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17.5</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may, from time to time, establish such policies and procedures relating to the conversion of the Class B Shares to Class A Shares, including the issuance of share certificates with respect thereto, as it may deem necessary or advisable.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17.6</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shall at all times reserve and keep available out of its authorized but unissued Class A Shares, solely for the purpose of effecting the conversion of the Class B Shares, such number of its Class A Shares as shall from time to time be sufficient to effect the conversion of all outstanding Class B Shares; and if at any time the number of authorized but unissued Class A Shares shall not be sufficient to effect the conversion of all then-outstanding Class B Shares, the Company will take such corporate action as may, in the opinion of its counsel, be necessary to increase its authorized but unissued Class A Shares to such numbers of shares as shall be sufficient for such purpose.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332"/>
        <w:gridCol w:w="9819"/>
      </w:tblGrid>
      <w:tr>
        <w:trPr/>
        <w:tc>
          <w:tcPr>
            <w:tcW w:w="54"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w:t>
            </w:r>
          </w:p>
        </w:tc>
        <w:tc>
          <w:tcPr>
            <w:tcW w:w="98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Amendments of Memorandum and Articles of Association and Alteration of Capital</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393"/>
        <w:gridCol w:w="9773"/>
      </w:tblGrid>
      <w:tr>
        <w:trPr/>
        <w:tc>
          <w:tcPr>
            <w:tcW w:w="3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18.1</w:t>
            </w:r>
          </w:p>
        </w:tc>
        <w:tc>
          <w:tcPr>
            <w:tcW w:w="97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may by Ordinary Resolution, subject to the rights of the Class B Shares, including under Article 17.3:</w:t>
            </w:r>
          </w:p>
        </w:tc>
      </w:tr>
    </w:tbl>
    <w:p>
      <w:pPr>
        <w:pStyle w:val="TextBody"/>
        <w:bidi w:val="0"/>
        <w:spacing w:before="0" w:after="0"/>
        <w:ind w:left="117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increase its share capital by such sum as the Ordinary Resolution shall prescribe and with such rights, priorities and privileges annexed thereto, as the Company in general meeting may determine;</w:t>
            </w:r>
          </w:p>
        </w:tc>
      </w:tr>
    </w:tbl>
    <w:p>
      <w:pPr>
        <w:pStyle w:val="TextBody"/>
        <w:bidi w:val="0"/>
        <w:spacing w:before="0" w:after="0"/>
        <w:ind w:left="1170" w:right="0" w:hanging="360"/>
        <w:jc w:val="both"/>
        <w:rPr>
          <w:caps w:val="false"/>
          <w:smallCaps w:val="false"/>
        </w:rPr>
      </w:pPr>
      <w:r>
        <w:rPr>
          <w:caps w:val="false"/>
          <w:smallCaps w:val="false"/>
        </w:rPr>
        <w:t> </w:t>
      </w:r>
    </w:p>
    <w:tbl>
      <w:tblPr>
        <w:tblW w:w="8808" w:type="dxa"/>
        <w:jc w:val="left"/>
        <w:tblInd w:w="0" w:type="dxa"/>
        <w:tblLayout w:type="fixed"/>
        <w:tblCellMar>
          <w:top w:w="0" w:type="dxa"/>
          <w:left w:w="0" w:type="dxa"/>
          <w:bottom w:w="0" w:type="dxa"/>
          <w:right w:w="0" w:type="dxa"/>
        </w:tblCellMar>
      </w:tblPr>
      <w:tblGrid>
        <w:gridCol w:w="38"/>
        <w:gridCol w:w="245"/>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85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consolidate and divide all or any of its share capital into Shares of larger amount than its existing Shares;</w:t>
            </w:r>
          </w:p>
        </w:tc>
      </w:tr>
    </w:tbl>
    <w:p>
      <w:pPr>
        <w:pStyle w:val="TextBody"/>
        <w:bidi w:val="0"/>
        <w:spacing w:before="0" w:after="0"/>
        <w:ind w:left="117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1"/>
        <w:gridCol w:w="9976"/>
      </w:tblGrid>
      <w:tr>
        <w:trPr/>
        <w:tc>
          <w:tcPr>
            <w:tcW w:w="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subdivision of its existing Shares or any of them divide the whole or any part of its share capital into Shares of smaller amount; provided, that in the subdivision the amount paid and the amount, if any, unpaid on each reduced share shall be the same as it was in case of the share from which the reduced share is derived; or</w:t>
            </w:r>
          </w:p>
        </w:tc>
      </w:tr>
    </w:tbl>
    <w:p>
      <w:pPr>
        <w:pStyle w:val="TextBody"/>
        <w:bidi w:val="0"/>
        <w:spacing w:before="0" w:after="0"/>
        <w:ind w:left="117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cancel any Shares that at the date of the passing of the Ordinary Resolution have not been taken or agreed to be taken by any Person and diminish the amount of its share capital by the amount of the Shares so cancelled.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18.2</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new Shares created in accordance with the provisions of the preceding Article shall be subject to the same provisions of the Articles with reference to the payment of calls, liens, transfer, transmission, forfeiture and otherwise as the Shares in the original share capital.</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18.3</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rights of the Class B Shares, including under Article 17.3(e), the provisions of the Statute, the provisions of the Articles as regards the matters to be dealt with by Ordinary Resolution, the Company may by Special Resolution:</w:t>
            </w:r>
          </w:p>
        </w:tc>
      </w:tr>
    </w:tbl>
    <w:p>
      <w:pPr>
        <w:pStyle w:val="TextBody"/>
        <w:bidi w:val="0"/>
        <w:spacing w:before="0" w:after="0"/>
        <w:ind w:left="1080" w:right="0" w:hanging="360"/>
        <w:jc w:val="both"/>
        <w:rPr>
          <w:caps w:val="false"/>
          <w:smallCaps w:val="false"/>
        </w:rPr>
      </w:pPr>
      <w:r>
        <w:rPr>
          <w:caps w:val="false"/>
          <w:smallCaps w:val="false"/>
        </w:rPr>
        <w:t> </w:t>
      </w:r>
    </w:p>
    <w:tbl>
      <w:tblPr>
        <w:tblW w:w="1668" w:type="dxa"/>
        <w:jc w:val="left"/>
        <w:tblInd w:w="0" w:type="dxa"/>
        <w:tblLayout w:type="fixed"/>
        <w:tblCellMar>
          <w:top w:w="0" w:type="dxa"/>
          <w:left w:w="0" w:type="dxa"/>
          <w:bottom w:w="0" w:type="dxa"/>
          <w:right w:w="0" w:type="dxa"/>
        </w:tblCellMar>
      </w:tblPr>
      <w:tblGrid>
        <w:gridCol w:w="38"/>
        <w:gridCol w:w="230"/>
        <w:gridCol w:w="14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 its name;</w:t>
            </w:r>
          </w:p>
        </w:tc>
      </w:tr>
    </w:tbl>
    <w:p>
      <w:pPr>
        <w:pStyle w:val="TextBody"/>
        <w:bidi w:val="0"/>
        <w:spacing w:before="0" w:after="0"/>
        <w:ind w:left="1080" w:right="0" w:hanging="360"/>
        <w:jc w:val="both"/>
        <w:rPr>
          <w:caps w:val="false"/>
          <w:smallCaps w:val="false"/>
        </w:rPr>
      </w:pPr>
      <w:r>
        <w:rPr>
          <w:caps w:val="false"/>
          <w:smallCaps w:val="false"/>
        </w:rPr>
        <w:t> </w:t>
      </w:r>
    </w:p>
    <w:tbl>
      <w:tblPr>
        <w:tblW w:w="2478" w:type="dxa"/>
        <w:jc w:val="left"/>
        <w:tblInd w:w="0" w:type="dxa"/>
        <w:tblLayout w:type="fixed"/>
        <w:tblCellMar>
          <w:top w:w="0" w:type="dxa"/>
          <w:left w:w="0" w:type="dxa"/>
          <w:bottom w:w="0" w:type="dxa"/>
          <w:right w:w="0" w:type="dxa"/>
        </w:tblCellMar>
      </w:tblPr>
      <w:tblGrid>
        <w:gridCol w:w="38"/>
        <w:gridCol w:w="245"/>
        <w:gridCol w:w="219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21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alter or add to the Articles;</w:t>
            </w:r>
          </w:p>
        </w:tc>
      </w:tr>
    </w:tbl>
    <w:p>
      <w:pPr>
        <w:pStyle w:val="TextBody"/>
        <w:bidi w:val="0"/>
        <w:spacing w:before="0" w:after="0"/>
        <w:ind w:left="1080" w:right="0" w:hanging="360"/>
        <w:jc w:val="both"/>
        <w:rPr>
          <w:caps w:val="false"/>
          <w:smallCaps w:val="false"/>
        </w:rPr>
      </w:pPr>
      <w:r>
        <w:rPr>
          <w:caps w:val="false"/>
          <w:smallCaps w:val="false"/>
        </w:rPr>
        <w:t> </w:t>
      </w:r>
    </w:p>
    <w:tbl>
      <w:tblPr>
        <w:tblW w:w="8883" w:type="dxa"/>
        <w:jc w:val="left"/>
        <w:tblInd w:w="0" w:type="dxa"/>
        <w:tblLayout w:type="fixed"/>
        <w:tblCellMar>
          <w:top w:w="0" w:type="dxa"/>
          <w:left w:w="0" w:type="dxa"/>
          <w:bottom w:w="0" w:type="dxa"/>
          <w:right w:w="0" w:type="dxa"/>
        </w:tblCellMar>
      </w:tblPr>
      <w:tblGrid>
        <w:gridCol w:w="38"/>
        <w:gridCol w:w="230"/>
        <w:gridCol w:w="86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86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alter or add to the Memorandum with respect to any objects, powers or other matters specified therein; and</w:t>
            </w:r>
          </w:p>
        </w:tc>
      </w:tr>
    </w:tbl>
    <w:p>
      <w:pPr>
        <w:pStyle w:val="TextBody"/>
        <w:bidi w:val="0"/>
        <w:spacing w:before="0" w:after="0"/>
        <w:ind w:left="1080" w:right="0" w:hanging="360"/>
        <w:jc w:val="both"/>
        <w:rPr>
          <w:caps w:val="false"/>
          <w:smallCaps w:val="false"/>
        </w:rPr>
      </w:pPr>
      <w:r>
        <w:rPr>
          <w:caps w:val="false"/>
          <w:smallCaps w:val="false"/>
        </w:rPr>
        <w:t> </w:t>
      </w:r>
    </w:p>
    <w:tbl>
      <w:tblPr>
        <w:tblW w:w="5373" w:type="dxa"/>
        <w:jc w:val="left"/>
        <w:tblInd w:w="0" w:type="dxa"/>
        <w:tblLayout w:type="fixed"/>
        <w:tblCellMar>
          <w:top w:w="0" w:type="dxa"/>
          <w:left w:w="0" w:type="dxa"/>
          <w:bottom w:w="0" w:type="dxa"/>
          <w:right w:w="0" w:type="dxa"/>
        </w:tblCellMar>
      </w:tblPr>
      <w:tblGrid>
        <w:gridCol w:w="38"/>
        <w:gridCol w:w="245"/>
        <w:gridCol w:w="509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5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reduce its share capital or any capital redemption reserve fund.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1"/>
        <w:gridCol w:w="854"/>
        <w:gridCol w:w="9210"/>
      </w:tblGrid>
      <w:tr>
        <w:trPr/>
        <w:tc>
          <w:tcPr>
            <w:tcW w:w="14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19</w:t>
            </w:r>
          </w:p>
        </w:tc>
        <w:tc>
          <w:tcPr>
            <w:tcW w:w="92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Offices and Places of Business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Statute, the Company may by resolution of the Directors change the location of its Registered Office. The Company may, in addition to its Registered Office, maintain such other offices or places of business as the Directors determine.</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2"/>
        <w:gridCol w:w="1346"/>
        <w:gridCol w:w="8637"/>
      </w:tblGrid>
      <w:tr>
        <w:trPr/>
        <w:tc>
          <w:tcPr>
            <w:tcW w:w="222"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w:t>
            </w:r>
          </w:p>
        </w:tc>
        <w:tc>
          <w:tcPr>
            <w:tcW w:w="86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Meetings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438"/>
        <w:gridCol w:w="9724"/>
      </w:tblGrid>
      <w:tr>
        <w:trPr/>
        <w:tc>
          <w:tcPr>
            <w:tcW w:w="4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20.1</w:t>
            </w:r>
          </w:p>
        </w:tc>
        <w:tc>
          <w:tcPr>
            <w:tcW w:w="97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general meetings other than annual general meetings shall be called extraordinary general meetings.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may (but shall not be obliged to) in each year hold a general meeting as its annual general meeting, and shall specify the meeting as such in the notices calling it. Any annual general meeting shall be held at such time and place as the Directors shall appoint. At these meetings the report of the Directors (if any) shall be presented.</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20.3</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the chief executive officer or the Chairman may call general meetings, and, for the avoidance of doubt, Members shall not have the ability to call general meetings.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20.4</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Members seeking to bring business before the annual general meeting or to nominate candidates for appointment as Directors at the annual general meeting must deliver notice to the principal executive offices of the Company not less than 120 calendar days before the date of the Company’s proxy statement released to Members in connection with the previous year’s annual general meeting or, if the Company did not hold an annual general meeting the previous year, or if the date of the current year’s annual general meeting has been changed by more than 30 days from the date of the previous year’s annual general meeting, then the deadline shall be set by the board of Directors with such deadline being a reasonable time before the Company begins to print and send its related proxy materials.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2"/>
        <w:gridCol w:w="925"/>
        <w:gridCol w:w="9128"/>
      </w:tblGrid>
      <w:tr>
        <w:trPr/>
        <w:tc>
          <w:tcPr>
            <w:tcW w:w="152"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91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Notice of General Meetings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21.1</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least five clear days’ notice shall be given of any general meeting. Every notice shall specify the place, the day and the hour of the meeting and the general nature of the business to be conducted at the general meeting and shall be given in the manner hereinafter mentioned or in such other manner if any as may be prescribed by the Company, provided that a general meeting of the Company shall, whether or not the notice specified in this Article has been given and whether or not the provisions of the Articles regarding general meetings have been complied with, be deemed to have been duly convened if it is so agreed: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case of an annual general meeting, by all of the Members (or their proxies) entitled to attend and vote thereat;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0"/>
        <w:gridCol w:w="9958"/>
      </w:tblGrid>
      <w:tr>
        <w:trPr/>
        <w:tc>
          <w:tcPr>
            <w:tcW w:w="3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case of an extraordinary general meeting, by Members (or their proxies) having the right to attend and vote at the meeting, together holding shares entitling the holders thereof to not less than two-thirds of the votes entitled to be cast at such extraordinary meeting.</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21.2</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accidental omission to give notice of a general meeting to, or the non-receipt of notice of a general meeting by, any Person entitled to receive such notice shall not invalidate the proceedings of that general meeting.</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0"/>
        <w:gridCol w:w="789"/>
        <w:gridCol w:w="9286"/>
      </w:tblGrid>
      <w:tr>
        <w:trPr/>
        <w:tc>
          <w:tcPr>
            <w:tcW w:w="13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w:t>
            </w:r>
          </w:p>
        </w:tc>
        <w:tc>
          <w:tcPr>
            <w:tcW w:w="92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Proceedings at General Meetings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22.1</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business shall be transacted at any general meeting unless a quorum of Members is present. A general meeting is duly constituted if, at the commencement of the meeting, there are present in person, through their authorised representative or by proxy two Members entitled to vote on resolutions of Members to be considered at the meeting.</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22.2</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provided by the Company, a Person may participate at a general meeting by conference telephone or other communications equipment by means of which all the Persons participating in the meeting can communicate with each other. Participation by a Person in a general meeting in this manner is treated as presence in Person at that meeting.</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22.3</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resolution (including a Special Resolution) in writing (in one or more counterparts) signed by or on behalf of all of the Members for the time being entitled to receive notice of and to attend and vote at general meetings (or, being corporations or other non-natural Persons, signed by their duly authorised representatives) shall be as valid and effective as if the resolution had been passed at a general meeting of the Company duly convened and held.</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22.4</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 quorum is not present within half an hour from the time appointed for the meeting to commence, the meeting shall stand adjourned to the same day in the next week at the same time and/or place or to such other day, time and/or place as the Directors may determine, and if at the adjourned meeting a quorum is not present within half an hour from the time appointed for the meeting to commence, the Members present shall be a quorum.</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22.5</w:t>
            </w:r>
          </w:p>
        </w:tc>
        <w:tc>
          <w:tcPr>
            <w:tcW w:w="9728" w:type="dxa"/>
            <w:tcBorders/>
            <w:vAlign w:val="center"/>
          </w:tcPr>
          <w:p>
            <w:pPr>
              <w:pStyle w:val="TableContents"/>
              <w:bidi w:val="0"/>
              <w:spacing w:before="0" w:after="283"/>
              <w:jc w:val="left"/>
              <w:rPr/>
            </w:pPr>
            <w:r>
              <w:rPr/>
              <w:t>The Directors may, at the time prior to the time appointed for the meeting to commence, appoint any Person to act as a chairman of a general meeting or, if the Directors do not make any such appointment, the Chairman, if any, of the board of Directors (as elected by a majority of the Directors in accordance with Article 31.7) shall preside as chairman at such general meeting. If there is no Chairman present, or if the Chairman is unwilling to act, the Directors present shall elect one of their number to be chairman of the meeting. The voting rights of the chairman, if a Director, as to the matters to be decided by the board of Directors shall be the same as other Directors.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22.6</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chairman may, with the consent of a meeting at which a quorum is present (and shall if so directed by the meeting) adjourn the meeting from time to time and from place to place (provided, that no special meeting called by the holders of Class B Shares may be adjourned unless a quorum does not exist), but no business shall be transacted at any adjourned meeting other than the business left unfinished at the meeting from which the adjournment took place.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22.7</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When a general meeting is adjourned for thirty days or more, notice of the adjourned meeting shall be given as in the case of an original meeting. Otherwise, it shall not be necessary to give any such notice of an adjourned meeting.</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638"/>
        <w:gridCol w:w="9504"/>
      </w:tblGrid>
      <w:tr>
        <w:trPr/>
        <w:tc>
          <w:tcPr>
            <w:tcW w:w="63"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22.8</w:t>
            </w:r>
          </w:p>
        </w:tc>
        <w:tc>
          <w:tcPr>
            <w:tcW w:w="95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resolution put to the vote of the meeting shall be decided on a poll.</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22.9</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poll shall be taken as the chairman directs, and the result of the poll shall be deemed to be the resolution of the general meeting at which the poll was demanded.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85"/>
        <w:gridCol w:w="9683"/>
      </w:tblGrid>
      <w:tr>
        <w:trPr/>
        <w:tc>
          <w:tcPr>
            <w:tcW w:w="37"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22.10</w:t>
            </w:r>
          </w:p>
        </w:tc>
        <w:tc>
          <w:tcPr>
            <w:tcW w:w="96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poll demanded on the election of a chairman or on a question of adjournment shall be taken forthwith (provided, that no special meeting called by a holder of Class B Shares may be adjourned unless a quorum does not exist). A poll demanded on any other question shall be taken at such date, time and place as the chairman of the general meeting directs, and any business other than that upon which a poll has been demanded or is contingent thereon may proceed pending the taking of the poll.</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621"/>
        <w:gridCol w:w="9536"/>
      </w:tblGrid>
      <w:tr>
        <w:trPr/>
        <w:tc>
          <w:tcPr>
            <w:tcW w:w="48"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22.11</w:t>
            </w:r>
          </w:p>
        </w:tc>
        <w:tc>
          <w:tcPr>
            <w:tcW w:w="95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case of an equality of votes the chairman shall be entitled to a second or casting vote.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8"/>
        <w:gridCol w:w="1324"/>
        <w:gridCol w:w="8663"/>
      </w:tblGrid>
      <w:tr>
        <w:trPr/>
        <w:tc>
          <w:tcPr>
            <w:tcW w:w="218"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w:t>
            </w:r>
          </w:p>
        </w:tc>
        <w:tc>
          <w:tcPr>
            <w:tcW w:w="86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Votes of Members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any rights or restrictions attached to any Shares, including in Articles 17.3 and Article 17.4, each Class A Share shall be entitled to one (1) vote on all matters subject to a vote of Members, and each Class B Share shall be entitled to ten (10) votes on all matters subject to a vote of Members.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23.2</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case of joint holders the vote of the senior holder who tenders a vote, whether in Person or by proxy (or, in the case of a corporation or other non-natural Person, by its duly authorised representative or proxy), shall be accepted to the exclusion of the votes of the other joint holders, and seniority shall be determined by the order in which the names of the holders stand in the Register of Members.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23.3</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Member of unsound mind, or in respect of whom an order has been made by any court, having jurisdiction in lunacy, may vote by his committee, receiver, curator bonis, or other Person on such Member’s behalf appointed by that court, and any such committee, receiver, curator bonis or other Person may vote by proxy.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23.4</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Person shall be entitled to vote at any general meeting unless he is registered as a Member on the record date for such meeting nor unless all calls or other monies then payable by him in respect of Shares have been paid.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23.5</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objection shall be raised as to the qualification of any voter except at the general meeting or adjourned general meeting at which the vote objected to is given or tendered and every vote not disallowed at the meeting shall be valid. Any objection made in due time in accordance with this Article shall be referred to the chairman whose decision shall be final and conclusive.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23.6</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Votes may be cast either personally or by proxy (or in the case of a corporation or other non-natural Person by its duly authorised representative or proxy). A Member may appoint more than one proxy or the same proxy under one or more instruments to attend and vote at a meeting. Where a Member appoints more than one proxy the instrument of proxy shall specify the number of Shares in respect of which each proxy is entitled to exercise the related votes.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23.7</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Member holding more than one Share need not cast the votes in respect of his Shares in the same way on any resolution and therefore may vote a Share or some or all such Shares either for or against a resolution and/or abstain from voting a Share or some or all of the Shares and, subject to the terms of the instrument appointing him, a proxy appointed under one or more instruments may vote a Share or some or all of the Shares in respect of which he is appointed either for or against a resolution and/or abstain from voting a Share or some or all of the Shares in respect of which he is appointed.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9"/>
        <w:gridCol w:w="2599"/>
        <w:gridCol w:w="7177"/>
      </w:tblGrid>
      <w:tr>
        <w:trPr/>
        <w:tc>
          <w:tcPr>
            <w:tcW w:w="429" w:type="dxa"/>
            <w:tcBorders/>
            <w:vAlign w:val="center"/>
          </w:tcPr>
          <w:p>
            <w:pPr>
              <w:pStyle w:val="TableContents"/>
              <w:bidi w:val="0"/>
              <w:spacing w:before="0" w:after="283"/>
              <w:jc w:val="left"/>
              <w:rPr>
                <w:sz w:val="4"/>
                <w:szCs w:val="4"/>
              </w:rPr>
            </w:pPr>
            <w:r>
              <w:rPr>
                <w:sz w:val="4"/>
                <w:szCs w:val="4"/>
              </w:rPr>
            </w:r>
          </w:p>
        </w:tc>
        <w:tc>
          <w:tcPr>
            <w:tcW w:w="25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w:t>
            </w:r>
          </w:p>
        </w:tc>
        <w:tc>
          <w:tcPr>
            <w:tcW w:w="71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Proxies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24.1</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instrument appointing a proxy shall be in writing and shall be executed under the hand of the appointor or of his attorney duly authorised in writing, or, if the appointor is a corporation or other non natural Person, under the hand of its duly authorised representative. A proxy need not be a Member.</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24.2</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in the notice convening any meeting or adjourned meeting, or in an instrument of proxy sent out by the Company, specify the manner by which the instrument appointing a proxy shall be deposited and the place and the time (being not later than the time appointed for the commencement of the meeting or adjourned meeting to which the proxy relates) at which the instrument appointing a proxy shall be deposited. In the absence of any such direction from the Directors in the notice convening any meeting or adjourned meeting or in an instrument of proxy sent out by the Company, the instrument appointing a proxy shall be deposited physically at the Registered Office not less than 48 hours before the time appointed for the meeting or adjourned meeting to commence at which the Person named in the instrument proposes to vote.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24.3</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chairman may in any event at his discretion declare that an instrument of proxy shall be deemed to have been duly deposited. An instrument of proxy that is not deposited in the manner permitted, or which has not been declared to have been duly deposited by the chairman, shall be invalid.</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24.4</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instrument appointing a proxy may be in any usual or common form (or such other form as the Directors may approve) and may be expressed to be for a particular meeting or any adjournment thereof or generally until revoked. An instrument appointing a proxy shall be deemed to include the power to demand or join or concur in demanding a poll.</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24.5</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Votes given in accordance with the terms of an instrument of proxy shall be valid notwithstanding the previous death or insanity of the principal or revocation of the proxy or of the authority under which the proxy was executed, or the transfer of the Share in respect of which the proxy is given unless notice in writing of such death, insanity, revocation or transfer was received by the Company at the Registered Office before the commencement of the general meeting, or adjourned meeting at which it is sought to use the proxy.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3"/>
        <w:gridCol w:w="1230"/>
        <w:gridCol w:w="8772"/>
      </w:tblGrid>
      <w:tr>
        <w:trPr/>
        <w:tc>
          <w:tcPr>
            <w:tcW w:w="203"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25</w:t>
            </w:r>
          </w:p>
        </w:tc>
        <w:tc>
          <w:tcPr>
            <w:tcW w:w="87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Corporate Members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25.1</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corporation or other non-natural Person which is a Member may in accordance with its constitutional documents, or in the absence of such provision by resolution of its directors or other governing body, authorise such Person as it thinks fit to act as its representative at any meeting of the Company or of any class of Members, and the Person so authorised shall be entitled to exercise the same powers on behalf of the corporation which he represents as the corporation could exercise if it were an individual Member.</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25.2</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 Clearing House (or its nominee(s)), being a corporation, is a Member, it may authorise such Persons as it sees fit to act as its representative at any meeting of the Company or at any meeting of any class of Members provided that the authorisation shall specify the number and class of Shares in respect of which each such representative is so authorised. Each Person so authorised under the provisions of this Article shall be deemed to have been duly authorised without further evidence of the facts and be entitled to exercise the same rights and powers on behalf of the Clearing House (or its nominee(s)) as if such Person was the registered holder of such Shares held by the Clearing House (or its nominee(s)).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1"/>
        <w:gridCol w:w="859"/>
        <w:gridCol w:w="9205"/>
      </w:tblGrid>
      <w:tr>
        <w:trPr/>
        <w:tc>
          <w:tcPr>
            <w:tcW w:w="141"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26</w:t>
            </w:r>
          </w:p>
        </w:tc>
        <w:tc>
          <w:tcPr>
            <w:tcW w:w="92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Shares that May Not be Voted</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Shares and other shares in the Company that are beneficially owned by the Company shall not be voted, directly or indirectly, at any meeting and shall not be counted in determining the total number of outstanding Shares at any given time.</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3"/>
        <w:gridCol w:w="2261"/>
        <w:gridCol w:w="7571"/>
      </w:tblGrid>
      <w:tr>
        <w:trPr/>
        <w:tc>
          <w:tcPr>
            <w:tcW w:w="373" w:type="dxa"/>
            <w:tcBorders/>
            <w:vAlign w:val="center"/>
          </w:tcPr>
          <w:p>
            <w:pPr>
              <w:pStyle w:val="TableContents"/>
              <w:bidi w:val="0"/>
              <w:spacing w:before="0" w:after="283"/>
              <w:jc w:val="left"/>
              <w:rPr>
                <w:sz w:val="4"/>
                <w:szCs w:val="4"/>
              </w:rPr>
            </w:pPr>
            <w:r>
              <w:rPr>
                <w:sz w:val="4"/>
                <w:szCs w:val="4"/>
              </w:rPr>
            </w:r>
          </w:p>
        </w:tc>
        <w:tc>
          <w:tcPr>
            <w:tcW w:w="22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27</w:t>
            </w:r>
          </w:p>
        </w:tc>
        <w:tc>
          <w:tcPr>
            <w:tcW w:w="75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Directors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27.1</w:t>
            </w:r>
          </w:p>
        </w:tc>
        <w:tc>
          <w:tcPr>
            <w:tcW w:w="9788" w:type="dxa"/>
            <w:tcBorders/>
            <w:vAlign w:val="center"/>
          </w:tcPr>
          <w:p>
            <w:pPr>
              <w:pStyle w:val="TableContents"/>
              <w:bidi w:val="0"/>
              <w:spacing w:before="0" w:after="283"/>
              <w:jc w:val="both"/>
              <w:rPr/>
            </w:pPr>
            <w:r>
              <w:rPr/>
              <w:t>There shall be a board of Directors consisting of not less than one Person, provided however that the Company may by Ordinary Resolution increase or reduce the limits in the number of Directors. For as long as the Shares are listed or quoted on any Designated Stock Exchange, the board of Directors shall include at least such number of Independent Directors as applicable law, rules or regulations of the Designated Stock Exchange or the Securities and Exchange Commission require.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8"/>
        <w:gridCol w:w="1259"/>
        <w:gridCol w:w="8738"/>
      </w:tblGrid>
      <w:tr>
        <w:trPr/>
        <w:tc>
          <w:tcPr>
            <w:tcW w:w="208"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w:t>
            </w:r>
          </w:p>
        </w:tc>
        <w:tc>
          <w:tcPr>
            <w:tcW w:w="87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Powers of Directors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28.1</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provisions of the Statute, the Memorandum and the Articles and to any directions given by Ordinary Resolution, the business of the Company shall be managed by the Directors who may exercise all the powers of the Company. No alteration of the Memorandum or Articles and no such direction shall invalidate any prior act of the Directors which would have been valid if that alteration had not been made or that direction had not been given. A duly convened meeting of Directors at which a quorum is present may exercise all powers exercisable by the Directors.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28.2</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cheques, promissory notes, drafts, bills of exchange and other negotiable or transferable instruments and all receipts for monies paid to the Company shall be signed, drawn, accepted, endorsed or otherwise executed as the case may be in such manner as the Directors shall determine by resolution.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28.3</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on behalf of the Company may pay a gratuity or pension or allowance on retirement to any Director who has held any other salaried office or place of profit with the Company or to his widow or dependants and may make contributions to any fund and pay premiums for the purchase or provision of any such gratuity, pension or allowance.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28.4</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exercise all the powers of the Company to borrow money and to mortgage or charge its undertaking, property and assets (present and future) and uncalled capital or any part thereof and to issue debentures, debenture stock, mortgages, bonds and other such securities whether outright or as security for any debt, liability or obligation of the Company or of any third party.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0"/>
        <w:gridCol w:w="671"/>
        <w:gridCol w:w="9424"/>
      </w:tblGrid>
      <w:tr>
        <w:trPr/>
        <w:tc>
          <w:tcPr>
            <w:tcW w:w="11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29</w:t>
            </w:r>
          </w:p>
        </w:tc>
        <w:tc>
          <w:tcPr>
            <w:tcW w:w="94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Appointment and Removal of Directors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29.1</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appoint any Person to be a Director, either to fill a vacancy or as an additional Director provided that the appointment does not cause the number of Directors to exceed any number fixed by or in accordance with the Articles as the maximum number of Directors or may remove any Director.</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29.2</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may by Ordinary Resolution appoint any Person to be a Director or may by Ordinary Resolution remove any Director.</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3"/>
        <w:gridCol w:w="868"/>
        <w:gridCol w:w="9194"/>
      </w:tblGrid>
      <w:tr>
        <w:trPr/>
        <w:tc>
          <w:tcPr>
            <w:tcW w:w="14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30</w:t>
            </w:r>
          </w:p>
        </w:tc>
        <w:tc>
          <w:tcPr>
            <w:tcW w:w="91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Vacation of Office of Director</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in these Articles, the office of a Director shall be vacated if:</w:t>
      </w:r>
    </w:p>
    <w:p>
      <w:pPr>
        <w:pStyle w:val="TextBody"/>
        <w:bidi w:val="0"/>
        <w:spacing w:before="0" w:after="0"/>
        <w:ind w:left="1350" w:right="0" w:hanging="360"/>
        <w:jc w:val="both"/>
        <w:rPr>
          <w:caps w:val="false"/>
          <w:smallCaps w:val="false"/>
        </w:rPr>
      </w:pPr>
      <w:r>
        <w:rPr>
          <w:caps w:val="false"/>
          <w:smallCaps w:val="false"/>
        </w:rPr>
        <w:t> </w:t>
      </w:r>
    </w:p>
    <w:tbl>
      <w:tblPr>
        <w:tblW w:w="7698" w:type="dxa"/>
        <w:jc w:val="left"/>
        <w:tblInd w:w="0" w:type="dxa"/>
        <w:tblLayout w:type="fixed"/>
        <w:tblCellMar>
          <w:top w:w="0" w:type="dxa"/>
          <w:left w:w="0" w:type="dxa"/>
          <w:bottom w:w="0" w:type="dxa"/>
          <w:right w:w="0" w:type="dxa"/>
        </w:tblCellMar>
      </w:tblPr>
      <w:tblGrid>
        <w:gridCol w:w="38"/>
        <w:gridCol w:w="230"/>
        <w:gridCol w:w="74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74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 gives notice in writing to the Company that he resigns the office of Director; or</w:t>
            </w:r>
          </w:p>
        </w:tc>
      </w:tr>
    </w:tbl>
    <w:p>
      <w:pPr>
        <w:pStyle w:val="TextBody"/>
        <w:bidi w:val="0"/>
        <w:spacing w:before="0" w:after="0"/>
        <w:ind w:left="135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 absents himself (for the avoidance of doubt, without being represented by proxy) from three consecutive meetings of the board of Directors without special leave of absence from the Directors, and the Directors pass a resolution that he has by reason of such absence vacated office; or</w:t>
            </w:r>
          </w:p>
        </w:tc>
      </w:tr>
    </w:tbl>
    <w:p>
      <w:pPr>
        <w:pStyle w:val="TextBody"/>
        <w:bidi w:val="0"/>
        <w:spacing w:before="0" w:after="0"/>
        <w:ind w:left="1350" w:right="0" w:hanging="360"/>
        <w:jc w:val="both"/>
        <w:rPr>
          <w:caps w:val="false"/>
          <w:smallCaps w:val="false"/>
        </w:rPr>
      </w:pPr>
      <w:r>
        <w:rPr>
          <w:caps w:val="false"/>
          <w:smallCaps w:val="false"/>
        </w:rPr>
        <w:t> </w:t>
      </w:r>
    </w:p>
    <w:tbl>
      <w:tblPr>
        <w:tblW w:w="9168" w:type="dxa"/>
        <w:jc w:val="left"/>
        <w:tblInd w:w="0" w:type="dxa"/>
        <w:tblLayout w:type="fixed"/>
        <w:tblCellMar>
          <w:top w:w="0" w:type="dxa"/>
          <w:left w:w="0" w:type="dxa"/>
          <w:bottom w:w="0" w:type="dxa"/>
          <w:right w:w="0" w:type="dxa"/>
        </w:tblCellMar>
      </w:tblPr>
      <w:tblGrid>
        <w:gridCol w:w="38"/>
        <w:gridCol w:w="230"/>
        <w:gridCol w:w="89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8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 dies, becomes bankrupt or makes any arrangement or composition with his creditors generally; or</w:t>
            </w:r>
          </w:p>
        </w:tc>
      </w:tr>
    </w:tbl>
    <w:p>
      <w:pPr>
        <w:pStyle w:val="TextBody"/>
        <w:bidi w:val="0"/>
        <w:spacing w:before="0" w:after="0"/>
        <w:ind w:left="135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9"/>
        <w:gridCol w:w="9958"/>
      </w:tblGrid>
      <w:tr>
        <w:trPr/>
        <w:tc>
          <w:tcPr>
            <w:tcW w:w="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licensed medical practitioner who has evaluated that Director gives a written opinion to the Company stating he or she has become physically or mentally incapable of acting as a Director (with reasonable accommodations) and may remain so for more than three (3) months; or</w:t>
            </w:r>
          </w:p>
        </w:tc>
      </w:tr>
    </w:tbl>
    <w:p>
      <w:pPr>
        <w:pStyle w:val="TextBody"/>
        <w:bidi w:val="0"/>
        <w:spacing w:before="0" w:after="0"/>
        <w:ind w:left="1350" w:right="0" w:hanging="360"/>
        <w:jc w:val="both"/>
        <w:rPr>
          <w:caps w:val="false"/>
          <w:smallCaps w:val="false"/>
        </w:rPr>
      </w:pPr>
      <w:r>
        <w:rPr>
          <w:caps w:val="false"/>
          <w:smallCaps w:val="false"/>
        </w:rPr>
        <w:t> </w:t>
      </w:r>
    </w:p>
    <w:tbl>
      <w:tblPr>
        <w:tblW w:w="7113" w:type="dxa"/>
        <w:jc w:val="left"/>
        <w:tblInd w:w="0" w:type="dxa"/>
        <w:tblLayout w:type="fixed"/>
        <w:tblCellMar>
          <w:top w:w="0" w:type="dxa"/>
          <w:left w:w="0" w:type="dxa"/>
          <w:bottom w:w="0" w:type="dxa"/>
          <w:right w:w="0" w:type="dxa"/>
        </w:tblCellMar>
      </w:tblPr>
      <w:tblGrid>
        <w:gridCol w:w="38"/>
        <w:gridCol w:w="230"/>
        <w:gridCol w:w="684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68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 is removed from office pursuant to any other provision of these Articles.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9"/>
        <w:gridCol w:w="1028"/>
        <w:gridCol w:w="9008"/>
      </w:tblGrid>
      <w:tr>
        <w:trPr/>
        <w:tc>
          <w:tcPr>
            <w:tcW w:w="169"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w:t>
            </w:r>
          </w:p>
        </w:tc>
        <w:tc>
          <w:tcPr>
            <w:tcW w:w="900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Proceedings of Directors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31.1</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quorum for the transaction of the business of the Directors may be fixed by the Directors, and unless so fixed shall be a majority of the Directors then in office.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31.2</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provisions of the Articles, the Directors may regulate their proceedings as they think fit. Questions arising at any meeting shall be decided by a majority of votes. In the case of an equality of votes, the Chairman shall have a second or casting vote.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31.3</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Person may participate in a meeting of the Directors or any committee of Directors by conference telephone or other communications equipment by means of which all the Persons participating in the meeting can communicate with each other at the same time. Participation by a Person in a meeting in this manner is treated as presence in Person at that meeting. Unless otherwise determined by the Directors, the meeting shall be deemed to be held at the place where the Chairman is located at the start of the meeting.</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31.4</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resolution in writing (in one or more counterparts) signed by all the Directors or all the members of a committee of the Directors or, in the case of a resolution in writing relating to the removal of any Director or the vacation of office by any Director, all of the Directors other than the Director who is the subject of such resolution shall be as valid and effectual as if it had been passed at a meeting of the Directors, or committee of Directors as the case may be, duly convened and held.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31.5</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 Director may, or other Officer on the direction of a Director shall, call a meeting of the Directors by at least two days’ notice in writing to every Director which notice shall set forth the general nature of the business to be considered unless notice is waived by all the Directors either at, before or after the meeting is held. To any such notice of a meeting of the Directors all the provisions of the Articles relating to the giving of notices by the Company to the Members shall apply </w:t>
            </w:r>
            <w:r>
              <w:rPr>
                <w:rFonts w:ascii="Times New Roman;Times;Serif" w:hAnsi="Times New Roman;Times;Serif"/>
                <w:i/>
                <w:sz w:val="20"/>
              </w:rPr>
              <w:t>mutatis mutandis.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31.6</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continuing Directors (or a sole continuing Director, as the case may be) may act notwithstanding any vacancy in their body, but if and so long as their number is reduced below the number fixed by or pursuant to the Articles as the necessary quorum of Directors the continuing Directors or Director may act for the purpose of increasing the number of Directors to be equal to such fixed number, or of summoning a general meeting of the Company, but for no other purpose.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31.7</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elect a Chairman of their board and determine the period for which he is to hold office; but if no such Chairman is elected, or if at any meeting the Chairman is not present within five minutes after the time appointed for the meeting to commence, the Directors present may choose one of their number to be chairman of the meeting.</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31.8</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acts done by any meeting of the Directors or of a committee of the Directors shall, notwithstanding that it is afterwards discovered that there was some defect in the appointment of any Director, and/or that they or any of them were disqualified, and/or had vacated their office and/or were not entitled to vote, be as valid as if every such Person had been duly appointed and/or not disqualified to be a Director and/or had not vacated their office and/or had been entitled to vote, as the case may be.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31.9</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Director may be represented at any meetings of the board of Directors by a proxy appointed in writing by him. The proxy shall count towards the quorum and the vote of the proxy shall for all purposes be deemed to be that of the appointing Director.</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2"/>
        <w:gridCol w:w="1109"/>
        <w:gridCol w:w="8914"/>
      </w:tblGrid>
      <w:tr>
        <w:trPr/>
        <w:tc>
          <w:tcPr>
            <w:tcW w:w="182"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w:t>
            </w:r>
          </w:p>
        </w:tc>
        <w:tc>
          <w:tcPr>
            <w:tcW w:w="89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Presumption of Assent</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who is present at a meeting of the board of Directors at which action on any Company matter is taken shall be presumed to have assented to the action taken unless his dissent shall be entered in the minutes of the meeting or unless he shall file his written dissent from such action with the Person acting as the chairman or secretary of the meeting before the adjournment thereof or shall forward such dissent by registered post to such Person immediately after the adjournment of the meeting. Such right to dissent shall not apply to a Director who voted in favour of such action.</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3"/>
        <w:gridCol w:w="1291"/>
        <w:gridCol w:w="8701"/>
      </w:tblGrid>
      <w:tr>
        <w:trPr/>
        <w:tc>
          <w:tcPr>
            <w:tcW w:w="213"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33</w:t>
            </w:r>
          </w:p>
        </w:tc>
        <w:tc>
          <w:tcPr>
            <w:tcW w:w="87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Directors’ Interests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33.1</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Director may hold any other office or place of profit under the Company (other than the office of Auditor) in conjunction with his office of Director for such period and on such terms as to remuneration and otherwise as the Directors may determine.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33.2</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Director may act by himself or by, through or on behalf of his firm in a professional capacity for the Company and he or his firm shall be entitled to remuneration for professional services as if he were not a Director.</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33.3</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Director may be or become a director or other officer of or otherwise interested in any company promoted by the Company or in which the Company may be interested as a shareholder, a contracting party or otherwise, and no such Director shall be accountable to the Company for any remuneration or other benefits received by him as a director or officer of, or from his interest in, such other company.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33.4</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Person shall be disqualified from the office of Director or prevented by such office from contracting with the Company, either as vendor, purchaser or otherwise, nor shall any such contract or any contract or transaction entered into by or on behalf of the Company in which any Director shall be in any way interested be or be liable to be avoided, nor shall any Director so contracting or being so interested be liable to account to the Company for any profit realised by or arising in connection with any such contract or transaction by reason of such Director holding office or of the fiduciary relationship thereby established. A Director shall be at liberty to vote in respect of any contract or transaction in which he is interested provided that the nature of the interest of any Director in any such contract or transaction shall be disclosed by him at or prior to its consideration and any vote thereon.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33.5</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general notice that a Director is a shareholder, director, officer or employee of any specified firm or company and is to be regarded as interested in any transaction with such firm or company shall be sufficient disclosure for the purposes of voting on a resolution in respect of a contract or transaction in which he has an interest, and after such general notice it shall not be necessary to give special notice relating to any particular transaction.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6"/>
        <w:gridCol w:w="2400"/>
        <w:gridCol w:w="7409"/>
      </w:tblGrid>
      <w:tr>
        <w:trPr/>
        <w:tc>
          <w:tcPr>
            <w:tcW w:w="396"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34</w:t>
            </w:r>
          </w:p>
        </w:tc>
        <w:tc>
          <w:tcPr>
            <w:tcW w:w="74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Minutes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shall cause minutes to be made in books kept for the purpose of recording all appointments of Officers made by the Directors, all proceedings at meetings of the Company or the holders of any class of Shares and of the Directors, and of committees of the Directors, including the names of the Directors present at each meeting.</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5"/>
        <w:gridCol w:w="818"/>
        <w:gridCol w:w="9252"/>
      </w:tblGrid>
      <w:tr>
        <w:trPr/>
        <w:tc>
          <w:tcPr>
            <w:tcW w:w="135"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35</w:t>
            </w:r>
          </w:p>
        </w:tc>
        <w:tc>
          <w:tcPr>
            <w:tcW w:w="925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Delegation of Directors’ Powers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35.1</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delegate any of their powers, authorities and discretions, including the power to sub-delegate, to any committee consisting of one or more Directors (including, without limitation, the Audit Committee, the Compensation Committee and the Nominating and Corporate Governance Committee). Any such delegation may be made subject to any conditions the Directors may impose and either collaterally with or to the exclusion of their own powers and any such delegation may be revoked or altered by the Directors. Subject to any such conditions, the proceedings of a committee of Directors shall be governed by the Articles regulating the proceedings of Directors, so far as they are capable of applying.</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35.2</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establish any committees, local boards or agencies or appoint any Person to be a manager or agent for managing the affairs of the Company and may appoint any Person to be a member of such committees, local boards or agencies. Any such appointment may be made subject to any conditions the Directors may impose, and either collaterally with or to the exclusion of their own powers and any such appointment may be revoked or altered by the Directors. Subject to any such conditions, the proceedings of any such committee, local board or agency shall be governed by the Articles regulating the proceedings of Directors, so far as they are capable of applying.</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35.3</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adopt formal written charters for committees. Each of these committees shall be empowered to do all things necessary to exercise the rights of such committee set forth in the Articles and shall have such powers as the Directors may delegate pursuant to the Articles and as required by the rules and regulations of the Designated Stock Exchange, the Securities and Exchange Commission and/or any other competent regulatory authority or otherwise under Applicable Law. Each of the Audit Committee, the Compensation Committee and the Nominating and Corporate Governance Committee, if established, shall consist of such number of Directors as the Directors shall from time to time determine (or such minimum number as may be required from time to time by the rules and regulations of the Designated Stock Exchange, the Securities and Exchange Commission and/or any other competent regulatory authority or otherwise under Applicable Law). For so long as any class of Shares is listed on the Designated Stock Exchange, the Audit Committee, the Compensation Committee and the Nominating and Corporate Governance Committee shall be made up of such number of Independent Directors as is required from time to time by the rules and regulations of the Designated Stock Exchange, the Securities and Exchange Commission and/or any other competent regulatory authority or otherwise under Applicable Law.</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35.4</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by power of attorney or otherwise appoint any Person to be the agent of the Company on such conditions as the Directors may determine, provided that the delegation is not to the exclusion of their own powers and may be revoked by the Directors at any time.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35.5</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by power of attorney or otherwise appoint any company, firm, Person or body of Persons, whether nominated directly or indirectly by the Directors, to be the attorney or authorised signatory of the Company for such purpose and with such powers, authorities and discretions (not exceeding those vested in or exercisable by the Directors under the Articles) and for such period and subject to such conditions as they may think fit, and any such powers of attorney or other appointment may contain such provisions for the protection and convenience of Persons dealing with any such attorneys or authorised signatories as the Directors may think fit and may also authorise any such attorney or authorised signatory to delegate all or any of the powers, authorities and discretions vested in him.</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35.6</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appoint such Officers as they consider necessary on such terms, at such remuneration and to perform such duties, and subject to such provisions as to disqualification and removal as the Directors may think fit. Unless otherwise specified in the terms of his appointment an Officer may be removed by resolution of the Directors or Members. An Officer may vacate his office at any time if he gives notice in writing to the Company that he resigns his office.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2"/>
        <w:gridCol w:w="925"/>
        <w:gridCol w:w="9128"/>
      </w:tblGrid>
      <w:tr>
        <w:trPr/>
        <w:tc>
          <w:tcPr>
            <w:tcW w:w="152"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36</w:t>
            </w:r>
          </w:p>
        </w:tc>
        <w:tc>
          <w:tcPr>
            <w:tcW w:w="91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Minimum Shareholding</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 general meeting may fix a minimum shareholding required to be held by a Director, but unless and until such a shareholding qualification is fixed a Director is not required to hold Shares.</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8"/>
        <w:gridCol w:w="959"/>
        <w:gridCol w:w="9088"/>
      </w:tblGrid>
      <w:tr>
        <w:trPr/>
        <w:tc>
          <w:tcPr>
            <w:tcW w:w="158"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37</w:t>
            </w:r>
          </w:p>
        </w:tc>
        <w:tc>
          <w:tcPr>
            <w:tcW w:w="90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Remuneration of Directors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37.1</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remuneration to be paid to the Directors, if any, shall be such remuneration as the Directors shall determine. The Directors shall also be entitled to be paid all travelling, hotel and other expenses properly and reasonably incurred by them in connection with their attendance at meetings of Directors or committees of Directors, or general meetings of the Company, or separate meetings of the holders of any class of Shares or debentures of the Company, or otherwise in connection with the business of the Company or the discharge of their duties as a Director, or to receive a fixed allowance in respect thereof as may be determined by the Directors, or a combination partly of one such method and partly the other.</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37.2</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by resolution approve additional remuneration to any Director for any services which in the opinion of the Directors go beyond his ordinary routine work as a Director. Any fees paid to a Director who is also counsel, attorney or solicitor to the Company, or otherwise serves it in a professional capacity shall be in addition to his remuneration as a Director.</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8"/>
        <w:gridCol w:w="3622"/>
        <w:gridCol w:w="5985"/>
      </w:tblGrid>
      <w:tr>
        <w:trPr/>
        <w:tc>
          <w:tcPr>
            <w:tcW w:w="598" w:type="dxa"/>
            <w:tcBorders/>
            <w:vAlign w:val="center"/>
          </w:tcPr>
          <w:p>
            <w:pPr>
              <w:pStyle w:val="TableContents"/>
              <w:bidi w:val="0"/>
              <w:spacing w:before="0" w:after="283"/>
              <w:jc w:val="left"/>
              <w:rPr>
                <w:sz w:val="4"/>
                <w:szCs w:val="4"/>
              </w:rPr>
            </w:pPr>
            <w:r>
              <w:rPr>
                <w:sz w:val="4"/>
                <w:szCs w:val="4"/>
              </w:rPr>
            </w:r>
          </w:p>
        </w:tc>
        <w:tc>
          <w:tcPr>
            <w:tcW w:w="36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38</w:t>
            </w:r>
          </w:p>
        </w:tc>
        <w:tc>
          <w:tcPr>
            <w:tcW w:w="5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Seal</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38.1</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may, if the Directors so determine, have a Seal. The Seal shall only be used by the authority of the Directors or of a committee of the Directors authorised by the Directors. Every instrument to which the Seal has been affixed shall be signed by at least one Person who shall be either a Director or some Officer or other Person appointed by the Directors for the purpose.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38.2</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may have for use in any place or places outside the Cayman Islands a duplicate Seal or Seals each of which shall be a facsimile of the common Seal of the Company and, if the Directors so determine, with the addition on its face of the name of every place where it is to be used.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38.3</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Director or Officer, representative or attorney of the Company may without further authority of the Directors affix the Seal over his signature alone to any document of the Company required to be authenticated by him under seal or to be filed with the Registrar of Companies in the Cayman Islands or elsewhere wheresoever.</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6"/>
        <w:gridCol w:w="704"/>
        <w:gridCol w:w="9385"/>
      </w:tblGrid>
      <w:tr>
        <w:trPr/>
        <w:tc>
          <w:tcPr>
            <w:tcW w:w="11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39</w:t>
            </w:r>
          </w:p>
        </w:tc>
        <w:tc>
          <w:tcPr>
            <w:tcW w:w="9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Dividends, Distributions and Reserve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39.1</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Statute and this Article and except as otherwise provided by the rights attached to any Shares, the Directors may resolve to pay Dividends and other distributions on Shares in issue and authorise payment of the Dividends or other distributions out of the funds of the Company lawfully available therefor. A Dividend shall be deemed to be an interim Dividend unless the terms of the resolution pursuant to which the Directors resolve to pay such Dividend specifically state that such Dividend shall be a final Dividend. No Dividend or other distribution shall be paid except out of the realised or unrealised profits of the Company, out of the share premium account or as otherwise permitted by law. Notwithstanding anything contained in these Articles, no Dividend shall be made on any Class A Shares unless a Dividend in equal proportion is made on the Class B Shares.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39.2</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Except as otherwise provided by the rights attached to any Shares, all Dividends and other distributions shall be paid according to the par value of the Shares that a Member holds. If any Share is issued on terms providing that it shall rank for Dividend as from a particular date, that Share shall rank for Dividend accordingly.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39.3</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deduct from any Dividend or other distribution payable to any Member all sums of money (if any) then payable by him to the Company on account of calls or otherwise.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39.4</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resolve that any Dividend or other distribution be paid wholly or partly by the distribution of specific assets and in particular (but without limitation) by the distribution of shares, debentures, or securities of any other company or in any one or more of such ways and where any difficulty arises in regard to such distribution, the Directors may settle the same as they think expedient and in particular may issue fractional Shares and may fix the value for distribution of such specific assets or any part thereof and may determine that cash payments shall be made to any Members upon the basis of the value so fixed in order to adjust the rights of all Members and may vest any such specific assets in trustees in such manner as may seem expedient to the Directors.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39.5</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Except as otherwise provided by the rights attached to any Shares, Dividends and other distributions may be paid in any currency. The Directors may determine the basis of conversion for any currency conversions that may be required and how any costs involved are to be met.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39.6</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before resolving to pay any Dividend or other distribution, set aside such sums as they think proper as a reserve or reserves which shall, at the discretion of the Directors, be applicable for any purpose of the Company and pending such application may, at the discretion of the Directors, be employed in the business of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39.7</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Dividend, other distribution, interest or other monies payable in cash in respect of Shares may be paid by wire transfer to the holder or by cheque or warrant sent through the post directed to the registered address of the holder or, in the case of joint holders, to the registered address of the holder who is first named on the Register of Members or to such Person and to such address as such holder or joint holders may in writing direct. Every such cheque or warrant shall be made payable to the order of the Person to whom it is sent. Any one of two or more joint holders may give effectual receipts for any Dividends, other distributions, bonuses, or other monies payable in respect of the Share held by them as joint holders.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39.8</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Dividend or other distribution which cannot be paid to a Member and/or which remains unclaimed after six months from the date on which such Dividend or other distribution becomes payable may, in the discretion of the Directors, be paid into a separate account in the Company’s name, provided that the Company shall not be constituted as a trustee in respect of that account and the Dividend or other distribution shall remain as a debt due to the Member. Any Dividend or other distribution which remains unclaimed after a period of six years from the date on which such Dividend or other distribution becomes payable shall be forfeited and shall revert to the Company.</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65"/>
        <w:gridCol w:w="1610"/>
        <w:gridCol w:w="8330"/>
      </w:tblGrid>
      <w:tr>
        <w:trPr/>
        <w:tc>
          <w:tcPr>
            <w:tcW w:w="265"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40</w:t>
            </w:r>
          </w:p>
        </w:tc>
        <w:tc>
          <w:tcPr>
            <w:tcW w:w="83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Capitalisation</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at any time capitalise any sum standing to the credit of any of the Company’s reserve accounts or funds (including the share premium account and capital redemption reserve fund) or any sum standing to the credit of the profit and loss account or otherwise available for distribution; appropriate such sum to Members in the proportions in which such sum would have been divisible amongst such Members had the same been a distribution of profits by way of Dividend or other distribution; and apply such sum on their behalf in paying up in full unissued Shares for allotment and distribution credited as fully paid-up to and amongst them in the proportion aforesaid. In such event the Directors shall do all acts and things required to give effect to such capitalisation, with full power given to the Directors to make such provisions as they think fit in the case of Shares becoming distributable in fractions (including provisions whereby the benefit of fractional entitlements accrue to the Company rather than to the Members concerned). The Directors may authorise any Person to enter on behalf of all of the Members interested into an agreement with the Company providing for such capitalisation and matters incidental or relating thereto and any agreement made under such authority shall be effective and binding on all such Members and the Company.</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8"/>
        <w:gridCol w:w="1324"/>
        <w:gridCol w:w="8663"/>
      </w:tblGrid>
      <w:tr>
        <w:trPr/>
        <w:tc>
          <w:tcPr>
            <w:tcW w:w="218"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w:t>
            </w:r>
          </w:p>
        </w:tc>
        <w:tc>
          <w:tcPr>
            <w:tcW w:w="86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Books of Account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41.1</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shall cause proper books of account (including, where applicable, material underlying documentation including contracts and invoices) to be kept with respect to all sums of money received and expended by the Company and the matters in respect of which the receipt or expenditure takes place, all sales and purchases of goods by the Company and the assets and liabilities of the Company. Such books of account must be retained for a minimum period of five years from the date on which they are prepared. Proper books shall not be deemed to be kept if there are not kept such books of account as are necessary to give a true and fair view of the state of the Company’s affairs and to explain its transactions.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41.2</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shall determine whether and to what extent and at what times and places and under what conditions or regulations the accounts and books of the Company or any of them shall be open to the inspection of Members not being Directors and no Member (not being a Director) shall have any right of inspecting any account or book or document of the Company except as conferred by Statute or authorised by the Directors or by the Company in general meeting.</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41.3</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cause to be prepared and to be laid before the Company in general meeting profit and loss accounts, balance sheets, group accounts (if any) and such other reports and accounts as may be required by law.</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4"/>
        <w:gridCol w:w="3057"/>
        <w:gridCol w:w="6644"/>
      </w:tblGrid>
      <w:tr>
        <w:trPr/>
        <w:tc>
          <w:tcPr>
            <w:tcW w:w="504" w:type="dxa"/>
            <w:tcBorders/>
            <w:vAlign w:val="center"/>
          </w:tcPr>
          <w:p>
            <w:pPr>
              <w:pStyle w:val="TableContents"/>
              <w:bidi w:val="0"/>
              <w:spacing w:before="0" w:after="283"/>
              <w:jc w:val="left"/>
              <w:rPr>
                <w:sz w:val="4"/>
                <w:szCs w:val="4"/>
              </w:rPr>
            </w:pPr>
            <w:r>
              <w:rPr>
                <w:sz w:val="4"/>
                <w:szCs w:val="4"/>
              </w:rPr>
            </w:r>
          </w:p>
        </w:tc>
        <w:tc>
          <w:tcPr>
            <w:tcW w:w="30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w:t>
            </w:r>
          </w:p>
        </w:tc>
        <w:tc>
          <w:tcPr>
            <w:tcW w:w="66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Audit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389"/>
        <w:gridCol w:w="9778"/>
      </w:tblGrid>
      <w:tr>
        <w:trPr/>
        <w:tc>
          <w:tcPr>
            <w:tcW w:w="3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42.1</w:t>
            </w:r>
          </w:p>
        </w:tc>
        <w:tc>
          <w:tcPr>
            <w:tcW w:w="977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appoint an Auditor of the Company who shall hold office on such terms as the Directors determine.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42.2</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Without prejudice to the freedom of the Directors to establish any other committee, if the Shares (or depositary receipts therefor) are listed or quoted on the Designated Stock Exchange, and if required by the rules and regulations of the Designated Stock Exchange, the Securities and Exchange Commission and/or any other competent regulatory authority or otherwise under Applicable Law, the Directors shall establish and maintain an Audit Committee as a committee of the Directors and shall adopt a formal written Audit Committee charter and review and assess the adequacy of the formal written charter on an annual basis. The composition and responsibilities of the Audit Committee shall comply with the rules and regulations of the Designated Stock Exchange, the Securities and Exchange Commission and/or any other competent regulatory authority or otherwise under Applicable Law.</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42.3</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Shares (or depositary receipts therefor) are listed or quoted on the Designated Stock Exchange, the Company shall conduct an appropriate review of all related party transactions on an ongoing basis and shall utilise the Audit Committee for the review and approval of potential conflicts of interest.</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523"/>
        <w:gridCol w:w="9630"/>
      </w:tblGrid>
      <w:tr>
        <w:trPr/>
        <w:tc>
          <w:tcPr>
            <w:tcW w:w="52"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42.4</w:t>
            </w:r>
          </w:p>
        </w:tc>
        <w:tc>
          <w:tcPr>
            <w:tcW w:w="96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remuneration of the Auditor shall be fixed by the Audit Committee (if one exists).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42.5</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office of Auditor becomes vacant by resignation or death of the Auditor, or by his becoming incapable of acting by reason of illness or other disability at a time when his services are required, the Directors shall fill the vacancy and determine the remuneration of such Auditor.</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42.6</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Every Auditor of the Company shall have a right of access at all times to the books and accounts and vouchers of the Company and shall be entitled to require from the Directors and Officers such information and explanation as may be necessary for the performance of the duties of the Auditor.</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42.7</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Auditors shall, if so required by the Directors, make a report on the accounts of the Company during their tenure of office at the next annual general meeting following their appointment in the case of a company which is registered with the Registrar of Companies as an ordinary company, and at the next extraordinary general meeting following their appointment in the case of a company which is registered with the Registrar of Companies as an exempted company, and at any other time during their term of office, upon request of the Directors or any general meeting of the Members.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42.8</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least one member of the Audit Committee shall be an “audit committee financial expert” as determined by the rules and regulations of the Designated Stock Exchange, the Securities and Exchange Commission and/or any other competent regulatory authority or otherwise under Applicable Law. The “audit committee financial expert” shall have such past employment experience in finance or accounting, requisite professional certification in accounting, or any other comparable experience or background which results in the individual’s financial sophistication.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2"/>
        <w:gridCol w:w="2557"/>
        <w:gridCol w:w="7226"/>
      </w:tblGrid>
      <w:tr>
        <w:trPr/>
        <w:tc>
          <w:tcPr>
            <w:tcW w:w="422" w:type="dxa"/>
            <w:tcBorders/>
            <w:vAlign w:val="center"/>
          </w:tcPr>
          <w:p>
            <w:pPr>
              <w:pStyle w:val="TableContents"/>
              <w:bidi w:val="0"/>
              <w:spacing w:before="0" w:after="283"/>
              <w:jc w:val="left"/>
              <w:rPr>
                <w:sz w:val="4"/>
                <w:szCs w:val="4"/>
              </w:rPr>
            </w:pPr>
            <w:r>
              <w:rPr>
                <w:sz w:val="4"/>
                <w:szCs w:val="4"/>
              </w:rPr>
            </w:r>
          </w:p>
        </w:tc>
        <w:tc>
          <w:tcPr>
            <w:tcW w:w="25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w:t>
            </w:r>
          </w:p>
        </w:tc>
        <w:tc>
          <w:tcPr>
            <w:tcW w:w="72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Notices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43.1</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Notices shall be in writing and may be given by the Company to any Member either personally or by sending it by courier, post, cable, telex, fax or e-mail to him or to his address as shown in the Register of Members (or where the notice is given by e-mail by sending it to the e-mail address provided by such Member). Notice may also be served by Electronic Communication in accordance with the rules and regulations of the Designated Stock Exchange, the Securities and Exchange Commission and/or any other competent regulatory authority or by placing it on the Company’s Website.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2"/>
        <w:gridCol w:w="1528"/>
        <w:gridCol w:w="8525"/>
      </w:tblGrid>
      <w:tr>
        <w:trPr/>
        <w:tc>
          <w:tcPr>
            <w:tcW w:w="152"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43.2</w:t>
            </w:r>
          </w:p>
        </w:tc>
        <w:tc>
          <w:tcPr>
            <w:tcW w:w="85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Where a notice is sent by:</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4"/>
        <w:gridCol w:w="9974"/>
      </w:tblGrid>
      <w:tr>
        <w:trPr/>
        <w:tc>
          <w:tcPr>
            <w:tcW w:w="3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courier; service of the notice shall be deemed to be effected by delivery of the notice to a courier company, and shall be deemed to have been received on the third day (not including Saturdays or Sundays or public holidays) following the day on which the notice was delivered to the courier;</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post; service of the notice shall be deemed to be effected by properly addressing, pre paying and posting a letter containing the notice, and shall be deemed to have been received on the fifth day (not including Saturdays or Sundays or public holidays in the Cayman Islands) following the day on which the notice was posted;</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108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5"/>
        <w:gridCol w:w="9963"/>
      </w:tblGrid>
      <w:tr>
        <w:trPr/>
        <w:tc>
          <w:tcPr>
            <w:tcW w:w="3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cable, telex or fax; service of the notice shall be deemed to be effected by properly addressing and sending such notice and shall be deemed to have been received on the same day that it was transmitted;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3"/>
        <w:gridCol w:w="9965"/>
      </w:tblGrid>
      <w:tr>
        <w:trPr/>
        <w:tc>
          <w:tcPr>
            <w:tcW w:w="3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e-mail or other Electronic Communication; service of the notice shall be deemed to be effected by transmitting the e-mail to the e-mail address provided by the intended recipient and shall be deemed to have been received on the same day that it was sent, and it shall not be necessary for the receipt of the e-mail to be acknowledged by the recipient;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0"/>
        <w:gridCol w:w="9958"/>
      </w:tblGrid>
      <w:tr>
        <w:trPr/>
        <w:tc>
          <w:tcPr>
            <w:tcW w:w="3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9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placing it on the Company’s Website; service of the notice shall be deemed to have been effected one hour after the notice or document was placed on the Company’s Website.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43.3</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notice may be given by the Company to the Person or Persons which the Company has been advised are entitled to a Share or Shares in consequence of the death or bankruptcy of a Member in the same manner as other notices which are required to be given under the Articles and shall be addressed to them by name, or by the title of representatives of the deceased, or trustee of the bankrupt, or by any like description at the address supplied for that purpose by the Persons claiming to be so entitled, or at the option of the Company by giving the notice in any manner in which the same might have been given if the death or bankruptcy had not occurred.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43.4</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Notice of every general meeting shall be given in any manner authorised by the Articles to every holder of Shares carrying an entitlement to receive such notice on the record date for such meeting except that in the case of joint holders the notice shall be sufficient if given to the joint holder first named in the Register of Members and every Person upon whom the ownership of a Share devolves by reason of his being a legal personal representative or a trustee in bankruptcy of a Member where the Member but for his death or bankruptcy would be entitled to receive notice of the meeting, and no other Person shall be entitled to receive notices of general meetings.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96"/>
        <w:gridCol w:w="1794"/>
        <w:gridCol w:w="8115"/>
      </w:tblGrid>
      <w:tr>
        <w:trPr/>
        <w:tc>
          <w:tcPr>
            <w:tcW w:w="296"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w:t>
            </w:r>
          </w:p>
        </w:tc>
        <w:tc>
          <w:tcPr>
            <w:tcW w:w="81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Winding Up</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44.1</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Company shall be wound up, the liquidator shall apply the assets of the Company in satisfaction of creditors’ claims in such manner and order as such liquidator thinks fit. Subject to the rights attaching to any Shares, in a winding up:</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3"/>
        <w:gridCol w:w="9975"/>
      </w:tblGrid>
      <w:tr>
        <w:trPr/>
        <w:tc>
          <w:tcPr>
            <w:tcW w:w="3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assets available for distribution amongst the Members shall be insufficient to repay the whole of the Company’s issued share capital, such assets shall be distributed so that, as nearly as may be, the losses shall be borne by the Members in proportion to the par value of the Shares held by them; or</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8"/>
        <w:gridCol w:w="9970"/>
      </w:tblGrid>
      <w:tr>
        <w:trPr/>
        <w:tc>
          <w:tcPr>
            <w:tcW w:w="3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assets available for distribution amongst the Members shall be more than sufficient to repay the whole of the Company’s issued share capital at the commencement of the winding up, the surplus shall be distributed amongst the Members in proportion to the par value of the Shares held by them at the commencement of the winding up subject to a deduction from those Shares in respect of which there are monies due, of all monies payable to the Company for unpaid calls or otherwise.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44.2</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Company shall be wound up the liquidator may, subject to the rights attaching to any Shares and with the approval of a Special Resolution of the Company and any other approval required by the Statute, divide amongst the Members in kind the whole or any part of the assets of the Company (whether such assets shall consist of property of the same kind or not) and may for that purpose value any assets and determine how the division shall be carried out as between the Members or different classes of Members. The liquidator may, with the like approval, vest the whole or any part of such assets in trustees upon such trusts for the benefit of the Members as the liquidator, with the like approval, shall think fit, but so that no Member shall be compelled to accept any asset upon which there is a liability.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7"/>
        <w:gridCol w:w="1015"/>
        <w:gridCol w:w="9023"/>
      </w:tblGrid>
      <w:tr>
        <w:trPr/>
        <w:tc>
          <w:tcPr>
            <w:tcW w:w="167"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45</w:t>
            </w:r>
          </w:p>
        </w:tc>
        <w:tc>
          <w:tcPr>
            <w:tcW w:w="90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Indemnity and Insurance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45.1</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Every Director and Officer (which for the avoidance of doubt, shall not include auditors of the Company), together with every former Director and former Officer (each an “</w:t>
            </w:r>
            <w:r>
              <w:rPr>
                <w:rFonts w:ascii="Times New Roman;Times;Serif" w:hAnsi="Times New Roman;Times;Serif"/>
                <w:b/>
                <w:sz w:val="20"/>
              </w:rPr>
              <w:t>Indemnified Person</w:t>
            </w:r>
            <w:r>
              <w:rPr>
                <w:rFonts w:ascii="Times New Roman;Times;Serif" w:hAnsi="Times New Roman;Times;Serif"/>
                <w:sz w:val="20"/>
              </w:rPr>
              <w:t>”) shall be indemnified out of the assets of the Company against any liability, action, proceeding, claim, demand, costs, damages or expenses, including legal expenses, whatsoever which they or any of them may incur as a result of any act or failure to act in carrying out their functions other than such liability (if any) that they may incur by reason of their own actual fraud, wilful neglect or wilful default. No Indemnified Person shall be liable to the Company for any loss or damage incurred by the Company as a result (whether direct or indirect) of the carrying out of their functions unless that liability arises through the actual fraud, wilful neglect or wilful default of such Indemnified Person. No Person shall be found to have committed actual fraud, wilful neglect or wilful default under this Article unless or until a court of competent jurisdiction shall have made a finding to that effect.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45.2</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shall advance to each Indemnified Person reasonable attorneys’ fees and other costs and expenses incurred in connection with the defence of any action, suit, proceeding or investigation involving such Indemnified Person for which indemnity will or could be sought. In connection with any advance of any expenses hereunder, the Indemnified Person shall execute an undertaking to repay the advanced amount to the Company if it shall be determined by final judgment or other final adjudication that such Indemnified Person was not entitled to indemnification pursuant to this Article. If it shall be determined by a final judgment or other final adjudication that such Indemnified Person was not entitled to indemnification with respect to such judgment, costs or expenses, then such party shall not be indemnified with respect to such judgment, costs or expenses and any advancement shall be returned to the Company (without interest) by the Indemnified Person.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45.3</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on behalf of the Company, may purchase and maintain insurance for the benefit of any Director or Officer against any liability which, by virtue of any rule of law, would otherwise attach to such Person in respect of any negligence, default, breach of duty or breach of trust of which such Person may be guilty in relation to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60"/>
        <w:gridCol w:w="1577"/>
        <w:gridCol w:w="8368"/>
      </w:tblGrid>
      <w:tr>
        <w:trPr/>
        <w:tc>
          <w:tcPr>
            <w:tcW w:w="260"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46</w:t>
            </w:r>
          </w:p>
        </w:tc>
        <w:tc>
          <w:tcPr>
            <w:tcW w:w="83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Financial Year</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Directors otherwise prescribe, the financial year of the Company shall end on 31st December in each year and, following the year of incorporation, shall begin on 1st January in each year.</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9"/>
        <w:gridCol w:w="786"/>
        <w:gridCol w:w="9290"/>
      </w:tblGrid>
      <w:tr>
        <w:trPr/>
        <w:tc>
          <w:tcPr>
            <w:tcW w:w="12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47</w:t>
            </w:r>
          </w:p>
        </w:tc>
        <w:tc>
          <w:tcPr>
            <w:tcW w:w="9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Transfer by Way of Continuation</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exempted as defined in the Statute, it shall, subject to the provisions of the Statute and with the approval of a Special Resolution, have the power to register by way of continuation as a body corporate under the laws of any jurisdiction outside the Cayman Islands and to be deregistered in the Cayman Islands.</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9"/>
        <w:gridCol w:w="903"/>
        <w:gridCol w:w="9153"/>
      </w:tblGrid>
      <w:tr>
        <w:trPr/>
        <w:tc>
          <w:tcPr>
            <w:tcW w:w="149"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48</w:t>
            </w:r>
          </w:p>
        </w:tc>
        <w:tc>
          <w:tcPr>
            <w:tcW w:w="91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Mergers and Consolidations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have the power to merge or consolidate with one or more other constituent companies (as defined in the Statute) upon such terms as the Directors may determine and (to the extent required by the Statute) with the approval of a Special Resolution.</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6"/>
        <w:gridCol w:w="1071"/>
        <w:gridCol w:w="8958"/>
      </w:tblGrid>
      <w:tr>
        <w:trPr/>
        <w:tc>
          <w:tcPr>
            <w:tcW w:w="176"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49</w:t>
            </w:r>
          </w:p>
        </w:tc>
        <w:tc>
          <w:tcPr>
            <w:tcW w:w="89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Business Opportunities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49.1</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the fullest extent permitted by Applicable Law, no individual serving as a Director or an Officer (“</w:t>
            </w:r>
            <w:r>
              <w:rPr>
                <w:rFonts w:ascii="Times New Roman;Times;Serif" w:hAnsi="Times New Roman;Times;Serif"/>
                <w:b/>
                <w:sz w:val="20"/>
              </w:rPr>
              <w:t>Management</w:t>
            </w:r>
            <w:r>
              <w:rPr>
                <w:rFonts w:ascii="Times New Roman;Times;Serif" w:hAnsi="Times New Roman;Times;Serif"/>
                <w:sz w:val="20"/>
              </w:rPr>
              <w:t>”) shall have any duty, except and to the extent expressly assumed by contract, to refrain from engaging directly or indirectly in the same or similar business activities or lines of business as the Company. To the fullest extent permitted by Applicable Law, the Company renounces any interest or expectancy of the Company in, or in being offered an opportunity to participate in, any potential transaction or matter which may be a corporate opportunity for Management, on the one hand, and the Company, on the other. Except to the extent expressly assumed by contract, to the fullest extent permitted by Applicable Law, Management shall have no duty to communicate or offer any such corporate opportunity to the Company and shall not be liable to the Company or its Members for breach of any fiduciary duty as a Member, Director and/or Officer solely by reason of the fact that such party pursues or acquires such corporate opportunity for itself, himself or herself, directs such corporate opportunity to another Person, or does not communicate information regarding such corporate opportunity to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49.2</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Except as provided elsewhere in this Article, the Company hereby renounces any interest or expectancy of the Company in, or in being offered an opportunity to participate in, any potential transaction or matter which may be a corporate opportunity for both the Company and Management, about which a Director and/or Officer who is also a member of Management acquires knowledge.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49.3</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the extent a court might hold that the conduct of any activity related to a corporate opportunity that is renounced in this Article to be a breach of duty to the Company or its Members, the Company hereby waives, to the fullest extent permitted by Applicable Law, any and all claims and causes of action that the Company may have for such activities. To the fullest extent permitted by Applicable Law, the provisions of this Article apply equally to activities conducted in the future and that have been conducted in the past.</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720" w:right="0" w:hanging="72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47</Pages>
  <Words>22857</Words>
  <Characters>112522</Characters>
  <CharactersWithSpaces>135296</CharactersWithSpaces>
  <Paragraphs>1734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