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306-6k_saiheat.htm"/>
      <w:bookmarkStart w:id="1" w:name="ksea03013066k_saihea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 #02-01 Singapore (058815)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Material Definitive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SAIHEAT Limited, an exempted company with limited liability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SAIHEAT</w:t>
      </w:r>
      <w:r>
        <w:rPr>
          <w:rFonts w:ascii="Times New Roman;Times;Serif" w:hAnsi="Times New Roman;Times;Serif"/>
          <w:b w:val="false"/>
          <w:i w:val="false"/>
          <w:caps w:val="false"/>
          <w:smallCaps w:val="false"/>
          <w:sz w:val="20"/>
        </w:rPr>
        <w:t>”), entered into (i) an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with Saiheat Merger Sub, Inc., a Delaware corporation and wholly owned subsidiary of the Company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Canopy Wave Inc., a Delaware corporation (“</w:t>
      </w:r>
      <w:r>
        <w:rPr>
          <w:rFonts w:ascii="Times New Roman;Times;Serif" w:hAnsi="Times New Roman;Times;Serif"/>
          <w:b/>
          <w:i w:val="false"/>
          <w:caps w:val="false"/>
          <w:smallCaps w:val="false"/>
          <w:sz w:val="20"/>
        </w:rPr>
        <w:t>Canopy Wave</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and the Target’s stockholders, Taoyue (Tao) Zhang (“</w:t>
      </w:r>
      <w:r>
        <w:rPr>
          <w:rFonts w:ascii="Times New Roman;Times;Serif" w:hAnsi="Times New Roman;Times;Serif"/>
          <w:b/>
          <w:i w:val="false"/>
          <w:caps w:val="false"/>
          <w:smallCaps w:val="false"/>
          <w:sz w:val="20"/>
        </w:rPr>
        <w:t>Mr. Zhang</w:t>
      </w:r>
      <w:r>
        <w:rPr>
          <w:rFonts w:ascii="Times New Roman;Times;Serif" w:hAnsi="Times New Roman;Times;Serif"/>
          <w:b w:val="false"/>
          <w:i w:val="false"/>
          <w:caps w:val="false"/>
          <w:smallCaps w:val="false"/>
          <w:sz w:val="20"/>
        </w:rPr>
        <w:t>”) and Chunyi (James) Liao (“</w:t>
      </w:r>
      <w:r>
        <w:rPr>
          <w:rFonts w:ascii="Times New Roman;Times;Serif" w:hAnsi="Times New Roman;Times;Serif"/>
          <w:b/>
          <w:i w:val="false"/>
          <w:caps w:val="false"/>
          <w:smallCaps w:val="false"/>
          <w:sz w:val="20"/>
        </w:rPr>
        <w:t>Mr. Liao</w:t>
      </w:r>
      <w:r>
        <w:rPr>
          <w:rFonts w:ascii="Times New Roman;Times;Serif" w:hAnsi="Times New Roman;Times;Serif"/>
          <w:b w:val="false"/>
          <w:i w:val="false"/>
          <w:caps w:val="false"/>
          <w:smallCaps w:val="false"/>
          <w:sz w:val="20"/>
        </w:rPr>
        <w:t>”, and together with Mr. Zhang,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(ii) a PIPE Share Purchase Agreement (the “</w:t>
      </w:r>
      <w:r>
        <w:rPr>
          <w:rFonts w:ascii="Times New Roman;Times;Serif" w:hAnsi="Times New Roman;Times;Serif"/>
          <w:b/>
          <w:i w:val="false"/>
          <w:caps w:val="false"/>
          <w:smallCaps w:val="false"/>
          <w:sz w:val="20"/>
        </w:rPr>
        <w:t>PIPE Share Purchase Agreement</w:t>
      </w:r>
      <w:r>
        <w:rPr>
          <w:rFonts w:ascii="Times New Roman;Times;Serif" w:hAnsi="Times New Roman;Times;Serif"/>
          <w:b w:val="false"/>
          <w:i w:val="false"/>
          <w:caps w:val="false"/>
          <w:smallCaps w:val="false"/>
          <w:sz w:val="20"/>
        </w:rPr>
        <w:t>”) with certain investors (the “</w:t>
      </w:r>
      <w:r>
        <w:rPr>
          <w:rFonts w:ascii="Times New Roman;Times;Serif" w:hAnsi="Times New Roman;Times;Serif"/>
          <w:b/>
          <w:i w:val="false"/>
          <w:caps w:val="false"/>
          <w:smallCaps w:val="false"/>
          <w:sz w:val="20"/>
        </w:rPr>
        <w:t>PIPE Investors</w:t>
      </w:r>
      <w:r>
        <w:rPr>
          <w:rFonts w:ascii="Times New Roman;Times;Serif" w:hAnsi="Times New Roman;Times;Serif"/>
          <w:b w:val="false"/>
          <w:i w:val="false"/>
          <w:caps w:val="false"/>
          <w:smallCaps w:val="false"/>
          <w:sz w:val="20"/>
        </w:rPr>
        <w:t>”); (iii) a Support Agreement (the “</w:t>
      </w:r>
      <w:r>
        <w:rPr>
          <w:rFonts w:ascii="Times New Roman;Times;Serif" w:hAnsi="Times New Roman;Times;Serif"/>
          <w:b/>
          <w:i w:val="false"/>
          <w:caps w:val="false"/>
          <w:smallCaps w:val="false"/>
          <w:sz w:val="20"/>
        </w:rPr>
        <w:t>Support Agreement</w:t>
      </w:r>
      <w:r>
        <w:rPr>
          <w:rFonts w:ascii="Times New Roman;Times;Serif" w:hAnsi="Times New Roman;Times;Serif"/>
          <w:b w:val="false"/>
          <w:i w:val="false"/>
          <w:caps w:val="false"/>
          <w:smallCaps w:val="false"/>
          <w:sz w:val="20"/>
        </w:rPr>
        <w:t>”) with the registered holder of the Company’s Class B ordinary shares, par value US$0.0015 per share (“</w:t>
      </w:r>
      <w:r>
        <w:rPr>
          <w:rFonts w:ascii="Times New Roman;Times;Serif" w:hAnsi="Times New Roman;Times;Serif"/>
          <w:b/>
          <w:i w:val="false"/>
          <w:caps w:val="false"/>
          <w:smallCaps w:val="false"/>
          <w:sz w:val="20"/>
        </w:rPr>
        <w:t>Company Class B Ordinary Shares</w:t>
      </w:r>
      <w:r>
        <w:rPr>
          <w:rFonts w:ascii="Times New Roman;Times;Serif" w:hAnsi="Times New Roman;Times;Serif"/>
          <w:b w:val="false"/>
          <w:i w:val="false"/>
          <w:caps w:val="false"/>
          <w:smallCaps w:val="false"/>
          <w:sz w:val="20"/>
        </w:rPr>
        <w:t>”), Energy Science Artist Holding Limited, a British Virgin Islands business company (“</w:t>
      </w:r>
      <w:r>
        <w:rPr>
          <w:rFonts w:ascii="Times New Roman;Times;Serif" w:hAnsi="Times New Roman;Times;Serif"/>
          <w:b/>
          <w:i w:val="false"/>
          <w:caps w:val="false"/>
          <w:smallCaps w:val="false"/>
          <w:sz w:val="20"/>
        </w:rPr>
        <w:t>Energy Science</w:t>
      </w:r>
      <w:r>
        <w:rPr>
          <w:rFonts w:ascii="Times New Roman;Times;Serif" w:hAnsi="Times New Roman;Times;Serif"/>
          <w:b w:val="false"/>
          <w:i w:val="false"/>
          <w:caps w:val="false"/>
          <w:smallCaps w:val="false"/>
          <w:sz w:val="20"/>
        </w:rPr>
        <w:t>”); and (iv) Option and Exchange Agreements (the “</w:t>
      </w:r>
      <w:r>
        <w:rPr>
          <w:rFonts w:ascii="Times New Roman;Times;Serif" w:hAnsi="Times New Roman;Times;Serif"/>
          <w:b/>
          <w:i w:val="false"/>
          <w:caps w:val="false"/>
          <w:smallCaps w:val="false"/>
          <w:sz w:val="20"/>
        </w:rPr>
        <w:t>Option and Exchange Agreements</w:t>
      </w:r>
      <w:r>
        <w:rPr>
          <w:rFonts w:ascii="Times New Roman;Times;Serif" w:hAnsi="Times New Roman;Times;Serif"/>
          <w:b w:val="false"/>
          <w:i w:val="false"/>
          <w:caps w:val="false"/>
          <w:smallCaps w:val="false"/>
          <w:sz w:val="20"/>
        </w:rPr>
        <w:t>”) with the Target and the Target’s stock option holders. In connection with the transactions contemplated by the Merger Agreement, the Company will hold a general meeting of the shareholders to seek approval for a Sixth Amended and Restated Memorandum and Articles of Association (the “</w:t>
      </w:r>
      <w:r>
        <w:rPr>
          <w:rFonts w:ascii="Times New Roman;Times;Serif" w:hAnsi="Times New Roman;Times;Serif"/>
          <w:b/>
          <w:i w:val="false"/>
          <w:caps w:val="false"/>
          <w:smallCaps w:val="false"/>
          <w:sz w:val="20"/>
        </w:rPr>
        <w:t>A&amp;R MAA</w:t>
      </w:r>
      <w:r>
        <w:rPr>
          <w:rFonts w:ascii="Times New Roman;Times;Serif" w:hAnsi="Times New Roman;Times;Serif"/>
          <w:b w:val="false"/>
          <w:i w:val="false"/>
          <w:caps w:val="false"/>
          <w:smallCaps w:val="false"/>
          <w:sz w:val="20"/>
        </w:rPr>
        <w:t>”). The A&amp;R MAA and each of the agreements referenced above are described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2024 and headquartered in Santa Clara, California, Canopy Wave is a pioneering provider of artificial intelligence (AI) infrastructure and high-performance inference platforms. Canopy Wave delivers secure, scalable GPU-as-a-Service (GPUaaS), and optimized inference services tailored specifically for open-weight AI models. By eliminating infrastructure bottlenecks, Canopy Wave empowers enterprise developers and global AI laboratories to build, deploy, and scale next-generation intelligent applications seamlessly. Driven by a commitment to rigorous data security, maximum computational efficiency, and elite scalability, Canopy Wave provides the critical foundational compute required to accelerate global AI innovation. Canopy Wave’s principal service offerings include: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AI infrastructure management service: Design and deploy key AI infrastructure, including GPU servers, storage, and networking, with a focus on AI model training and inference, operated with engineering excellence and secured operation certified with System and Organization Controls 2.</w:t>
            </w:r>
          </w:p>
        </w:tc>
      </w:tr>
    </w:tbl>
    <w:p>
      <w:pPr>
        <w:pStyle w:val="TextBody"/>
        <w:bidi w:val="0"/>
        <w:spacing w:before="0" w:after="0"/>
        <w:ind w:left="72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GPU-as-a-Service: Create virtual private cloud to enable enterprises to lease and use GPU on demand.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Inference-as-a-Service: An inference platform that delivers optimized token services with endpoints powered by a performance-tuned inference engine.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Canopy Wave launched its AI infrastructure and GPU-as-a-Service offerings in 2024, generating more than $15 million in aggregated revenue since the launch. Inference-as-a-Service was launched in November 2025 with encouraging growth since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subject to the conditions set forth therein, Canopy Wave will be merged with and into Merger Sub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Merger Sub surviving the Merger as the surviving corporation and a wholly owned subsidiary of the Company. Canopy Wave will cease to exist as a separate entity. Upon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Company will be renamed “Canopy Wave Holdings Inc.” and list on the Nasdaq under the ticker symbol CWAV, subject to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Merger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the aggregate merger consideration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will consist entirely of newly issued and issuable Company Class A ordinary shares (“</w:t>
      </w:r>
      <w:r>
        <w:rPr>
          <w:rFonts w:ascii="Times New Roman;Times;Serif" w:hAnsi="Times New Roman;Times;Serif"/>
          <w:b/>
          <w:i w:val="false"/>
          <w:caps w:val="false"/>
          <w:smallCaps w:val="false"/>
          <w:sz w:val="20"/>
        </w:rPr>
        <w:t>Company Class A Ordinary Shares</w:t>
      </w:r>
      <w:r>
        <w:rPr>
          <w:rFonts w:ascii="Times New Roman;Times;Serif" w:hAnsi="Times New Roman;Times;Serif"/>
          <w:b w:val="false"/>
          <w:i w:val="false"/>
          <w:caps w:val="false"/>
          <w:smallCaps w:val="false"/>
          <w:sz w:val="20"/>
        </w:rPr>
        <w:t>”), par value US$0.0015 per share, and Company Class B Ordinary Shares (together with the Company Class A Ordinary Shares, the “</w:t>
      </w:r>
      <w:r>
        <w:rPr>
          <w:rFonts w:ascii="Times New Roman;Times;Serif" w:hAnsi="Times New Roman;Times;Serif"/>
          <w:b/>
          <w:i w:val="false"/>
          <w:caps w:val="false"/>
          <w:smallCaps w:val="false"/>
          <w:sz w:val="20"/>
        </w:rPr>
        <w:t>Company Ordinary Shares</w:t>
      </w:r>
      <w:r>
        <w:rPr>
          <w:rFonts w:ascii="Times New Roman;Times;Serif" w:hAnsi="Times New Roman;Times;Serif"/>
          <w:b w:val="false"/>
          <w:i w:val="false"/>
          <w:caps w:val="false"/>
          <w:smallCaps w:val="false"/>
          <w:sz w:val="20"/>
        </w:rPr>
        <w:t>”), comprising an aggregate of 3,306,269 Company Ordinary Shares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consisting of: (a) 2,624,152 Company Class A Ordinary Shares and 496,442 Company Class B Ordinary Shares to be issued to the Sellers in exchange for all outstanding shares of Target common stock (the “</w:t>
      </w:r>
      <w:r>
        <w:rPr>
          <w:rFonts w:ascii="Times New Roman;Times;Serif" w:hAnsi="Times New Roman;Times;Serif"/>
          <w:b/>
          <w:i w:val="false"/>
          <w:caps w:val="false"/>
          <w:smallCaps w:val="false"/>
          <w:sz w:val="20"/>
        </w:rPr>
        <w:t>Company Aggregate Share Consideration</w:t>
      </w:r>
      <w:r>
        <w:rPr>
          <w:rFonts w:ascii="Times New Roman;Times;Serif" w:hAnsi="Times New Roman;Times;Serif"/>
          <w:b w:val="false"/>
          <w:i w:val="false"/>
          <w:caps w:val="false"/>
          <w:smallCaps w:val="false"/>
          <w:sz w:val="20"/>
        </w:rPr>
        <w:t>”), structured so that each Seller will receive 1,312,076 Company Class A Ordinary Shares and 248,221 Company Class B Ordinary Shares; and (b) 185,675 Company Class A Ordinary Shares comprising the reserved option pool (the “</w:t>
      </w:r>
      <w:r>
        <w:rPr>
          <w:rFonts w:ascii="Times New Roman;Times;Serif" w:hAnsi="Times New Roman;Times;Serif"/>
          <w:b/>
          <w:i w:val="false"/>
          <w:caps w:val="false"/>
          <w:smallCaps w:val="false"/>
          <w:sz w:val="20"/>
        </w:rPr>
        <w:t>Reserved Option Pool</w:t>
      </w:r>
      <w:r>
        <w:rPr>
          <w:rFonts w:ascii="Times New Roman;Times;Serif" w:hAnsi="Times New Roman;Times;Serif"/>
          <w:b w:val="false"/>
          <w:i w:val="false"/>
          <w:caps w:val="false"/>
          <w:smallCaps w:val="false"/>
          <w:sz w:val="20"/>
        </w:rPr>
        <w:t>”), reserved for future issuance upon exercise of options granted to certain of the Target’s option holders. Each Company Class B Ordinary Share will carry ten (10) votes per share, while each Company Class A Ordinary Share will carry one (1) vote per share, as set forth in the A&amp;R MAA.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Consideration Shares has been determined based on (i) the Target’s pre-money equity valuation of US$60.0 million, (ii) the Company’s pre-money equity valuation of US$40.0 million, and (iii) the total outstanding share capital of the Company (including shares reserved for issuance under the Company’s existing equity incentive plan), implying a price of US$18.15 per Company Class A Ordinary Share (the “</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The number of Consideration Shares is fixed and is not subject to adjustment based on changes in the Company’s or the Target’s valuation or share price between the date of the Merger Agreement and the Closing, except for customary anti-dilution adjustments as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Shares will be issued in reliance upon exemptions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Rule 506 of Regulation D promulgated thereunder. Each Seller has represented in the Merger Agreement that it is an “accredited investor” within the meaning of Rule 501(a) of Regulation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agreed that, during the period commencing on the date of the Closing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and ending on the date that is six (6) months after the Closing Date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such Seller will not, directly or indirectly, sell, offer to sell, contract to sell, pledge, hypothecate, lend, grant any option, right or warrant to purchase, transfer, assign or otherwise dispose of, convert into Company Class A Ordinary Shares, or enter into any swap, hedge or other arrangement that transfers to any person, in whole or in part, any of the economic consequences of ownership of, any Consideration Shares (including any Company Class B Ordinary Shares). Any purported transfer or conversion in violation of the lock-up restrictions will be null and void and the Company will be entitled to instruct its transfer agent to decline to register any such transfer or conversion and to place appropriate stop-transfer instructions and restrictive legends on the applicable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Meeting and Required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subject to, among other conditions, the receipt of the required shareholder vote in respect of the alteration of the Company’s share capital, the adoption of the A&amp;R MAA, and other matters in connection with the Merger, at a general meeting of the Company’s shareholders (the “</w:t>
      </w:r>
      <w:r>
        <w:rPr>
          <w:rFonts w:ascii="Times New Roman;Times;Serif" w:hAnsi="Times New Roman;Times;Serif"/>
          <w:b/>
          <w:i w:val="false"/>
          <w:caps w:val="false"/>
          <w:smallCaps w:val="false"/>
          <w:sz w:val="20"/>
        </w:rPr>
        <w:t>Company’s Shareholder Meeting</w:t>
      </w:r>
      <w:r>
        <w:rPr>
          <w:rFonts w:ascii="Times New Roman;Times;Serif" w:hAnsi="Times New Roman;Times;Serif"/>
          <w:b w:val="false"/>
          <w:i w:val="false"/>
          <w:caps w:val="false"/>
          <w:smallCaps w:val="false"/>
          <w:sz w:val="20"/>
        </w:rPr>
        <w:t>”) to be convened as promptly as practicable following the date of the Merger Agreement and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Post-Closing Ownership,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Sellers are expected to collectively hold a majority of the Company’s economic interests and voting power on a fully diluted basis, and the Company’s board of directors will be fixed at five members (a majority of whom must qualify as independent directors under Nasdaq rules). The post-Closing officers of the Company will include Mr. Zhang as Chief Executive Officer and Chief Operating Officer, and Mr. Liao as Chief Technology Officer. Jianwei Li, the Company’s current Chief Executive Officer, will resign from all positions as officer and director of the Company effective at the Effective Time. At the Effective Time, the Company will enter into a consulting agreement with Mr. Li (the “</w:t>
      </w:r>
      <w:r>
        <w:rPr>
          <w:rFonts w:ascii="Times New Roman;Times;Serif" w:hAnsi="Times New Roman;Times;Serif"/>
          <w:b/>
          <w:i w:val="false"/>
          <w:caps w:val="false"/>
          <w:smallCaps w:val="false"/>
          <w:sz w:val="20"/>
        </w:rPr>
        <w:t>Li Consulting Agreement</w:t>
      </w:r>
      <w:r>
        <w:rPr>
          <w:rFonts w:ascii="Times New Roman;Times;Serif" w:hAnsi="Times New Roman;Times;Serif"/>
          <w:b w:val="false"/>
          <w:i w:val="false"/>
          <w:caps w:val="false"/>
          <w:smallCaps w:val="false"/>
          <w:sz w:val="20"/>
        </w:rPr>
        <w:t>”) on terms mutually agreed upon by the Company and Mr. Li, which consulting agreement will not grant Mr. Li any board representation rights, consent rights, veto rights, or other governance rights with respect to the Company. All existing directors of the Company will resign effective at or prior to the Effective Time, as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Closing, the Company is required to submit a Listing of Additional Shares Notification (“</w:t>
      </w:r>
      <w:r>
        <w:rPr>
          <w:rFonts w:ascii="Times New Roman;Times;Serif" w:hAnsi="Times New Roman;Times;Serif"/>
          <w:b/>
          <w:i w:val="false"/>
          <w:caps w:val="false"/>
          <w:smallCaps w:val="false"/>
          <w:sz w:val="20"/>
        </w:rPr>
        <w:t>LAS Notice</w:t>
      </w:r>
      <w:r>
        <w:rPr>
          <w:rFonts w:ascii="Times New Roman;Times;Serif" w:hAnsi="Times New Roman;Times;Serif"/>
          <w:b w:val="false"/>
          <w:i w:val="false"/>
          <w:caps w:val="false"/>
          <w:smallCaps w:val="false"/>
          <w:sz w:val="20"/>
        </w:rPr>
        <w:t>”) to Nasdaq at least 15 calendar days prior to the Closing Date describing the Merger and contemplated transactions and shall have not received any objections from Nasdaq. In addition, the Company will submit an initial listing application covering the Company Class A Ordinary Shares to be issued in connection with the contemplated transactions (the “</w:t>
      </w:r>
      <w:r>
        <w:rPr>
          <w:rFonts w:ascii="Times New Roman;Times;Serif" w:hAnsi="Times New Roman;Times;Serif"/>
          <w:b/>
          <w:i w:val="false"/>
          <w:caps w:val="false"/>
          <w:smallCaps w:val="false"/>
          <w:sz w:val="20"/>
        </w:rPr>
        <w:t>Nasdaq Listing Application</w:t>
      </w:r>
      <w:r>
        <w:rPr>
          <w:rFonts w:ascii="Times New Roman;Times;Serif" w:hAnsi="Times New Roman;Times;Serif"/>
          <w:b w:val="false"/>
          <w:i w:val="false"/>
          <w:caps w:val="false"/>
          <w:smallCaps w:val="false"/>
          <w:sz w:val="20"/>
        </w:rPr>
        <w:t>”) and obtain Nasdaq’s conditional approval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made by each of the Company, Merger Sub, the Target, and the Sellers. The Merger Agreement also contains customary pre-Closing covenants, including obligations on (i) each of the Company and the Target to conduct its business in the ordinary course during the period between signing and Closing, (ii) each of the Company and the Target not to take specified actions without the other party’s consent, and (iii) each party to use reasonable best efforts to consummate the Merger and satisfy applicable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consummate the Merger are subject to customary conditions precedent, which include but are not limited to the following: (i) receipt of the required shareholder vote at the Company’s Shareholder Meeting, including adoption of the A&amp;R MAA; (ii) no governmental order or law preventing consummation of the Merger being in effect; (iii) submission of the LAS Notice to Nasdaq, conditional approval of the Nasdaq Listing Application, and the maintenance of the Company’s existing listing on Nasdaq; (iv) satisfaction or waiver of all conditions to consummate the transactions as set forth in the PIPE Share Purchase Agreement (other than consummation of the Merger itself); (v) net cash of the Company of not less than US$500,000 (after giving effect to payment of all transaction expenses), as of the close of business on the business day immediately preceding the Closing Date; (vi) the accuracy of the representations and warranties (subject to materiality qualifiers) as of the Closing Date; (vii) performance in all material respects of the covenants and obligations required to be performed prior to Closing; (viii) the absence of a material adverse effect on either the Company or the Target since the date of the Merger Agreement; (ix) conversion of all issued and outstanding Company Class B Ordinary Shares held by Energy Science into Company Class A Ordinary Shares prior to Closing; (x) execution and delivery of the relevant transaction documents; (xi) repayment and termination of certain Simple Agreements for Future Equity by the Target; (xii) termination of the Target’s investor agreements and common stock purchase agreements; and (xiii) termination of the employment agreement between the Company and Jianwei Li and payment in full of all amounts due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prior to the Effective Time by mutual written consent of the parties, or by either party if: (i) the Merger is not consummated by December 31, 2026 (subject to a 90-day extension in specified circumstances); (ii) a governmental order permanently restraining the Merger becomes final and non-appealable; or (iii) the required shareholder vote of the Company is not obtained. In addition, the Company may terminate the Merger Agreement if the Target or the Sellers breach their representations and warranties or fail to perform their covenants (subject to a 30-day cure period), and the Target may terminate if the Company or Merger Sub breaches their respective representations and warranties or covenants (subject to a 30-day cure period). The Target may also terminate the Merger Agreement, at any time prior to receipt of the required shareholder vote of the Company, if a “Parent Triggering Event” occurs, which includes circumstances where (i) the Company fails to include the Company’s board of directors’ recommendation in favor of the Merger in any proxy statement or solicitation materials distributed to the Company’s shareholders, or the Company board withholds, amends, withdraws or modifies such recommendation in a manner adverse to the Target, (ii) the Company’s board of directors or any committee thereof publicly approves, endorses or recommends any competing acquisition proposal, or (iii) the Company enters into any letter of intent or other contract relating to any competing acquisition proposal (other than a permitted confidentiality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the PIPE Share Purchase Agreement with the PIPE Investors. Pursuant to the PIPE Share Purchase Agreement, the Company agreed to sell to the PIPE Investors, and the PIPE Investors agreed to purchase from the Company, an aggregate of 247,970 Company Class A Ordinary Shares (the “</w:t>
      </w:r>
      <w:r>
        <w:rPr>
          <w:rFonts w:ascii="Times New Roman;Times;Serif" w:hAnsi="Times New Roman;Times;Serif"/>
          <w:b/>
          <w:i w:val="false"/>
          <w:caps w:val="false"/>
          <w:smallCaps w:val="false"/>
          <w:sz w:val="20"/>
        </w:rPr>
        <w:t>PIPE Shares</w:t>
      </w:r>
      <w:r>
        <w:rPr>
          <w:rFonts w:ascii="Times New Roman;Times;Serif" w:hAnsi="Times New Roman;Times;Serif"/>
          <w:b w:val="false"/>
          <w:i w:val="false"/>
          <w:caps w:val="false"/>
          <w:smallCaps w:val="false"/>
          <w:sz w:val="20"/>
        </w:rPr>
        <w:t>”) for aggregate proceeds of approximately US$4.5 million, at a purchase price of US$18.15 per share (the “</w:t>
      </w:r>
      <w:r>
        <w:rPr>
          <w:rFonts w:ascii="Times New Roman;Times;Serif" w:hAnsi="Times New Roman;Times;Serif"/>
          <w:b/>
          <w:i w:val="false"/>
          <w:caps w:val="false"/>
          <w:smallCaps w:val="false"/>
          <w:sz w:val="20"/>
        </w:rPr>
        <w:t>PIPE Investment</w:t>
      </w:r>
      <w:r>
        <w:rPr>
          <w:rFonts w:ascii="Times New Roman;Times;Serif" w:hAnsi="Times New Roman;Times;Serif"/>
          <w:b w:val="false"/>
          <w:i w:val="false"/>
          <w:caps w:val="false"/>
          <w:smallCaps w:val="false"/>
          <w:sz w:val="20"/>
        </w:rPr>
        <w:t>”). The PIPE Shares will be issued in reliance upon the exemptions from registration afforded under the Securities Act, including Rule 506(b) of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PIPE Investment is conditioned upon, and will occur concurrently with or immediately following, the Closing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of PIPE Investment, the Company will enter into the PIPE Registration Rights Agreement with the PIPE Investors, pursuant to which the Company will agree to register for resale under the Securities Act all PIPE Shares held by the PIPE Investors. The Company is required to file an initial registration statement covering the resale of all PIPE Shares within forty-five (45) days following the closing date of the PIPE Investment provided that all financial statements of the Company (as the accounting acquirer) then required by the SEC to be included therein are available, and to use reasonable best efforts to cause such registration statement to become effective within the timeframes set forth in the PIPE Registration Rights Agreement. The Company has agreed to maintain the effectiveness of the registration statement until the earlier of the date all PIPE Shares have been sold and the date the PIPE Shares may be sold without restriction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Science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entered into the Energy Science Registration Rights Agreement with Energy Science, which is the registered holder of 642,043 Company Class B Ordinary Shares (the “</w:t>
      </w:r>
      <w:r>
        <w:rPr>
          <w:rFonts w:ascii="Times New Roman;Times;Serif" w:hAnsi="Times New Roman;Times;Serif"/>
          <w:b/>
          <w:i w:val="false"/>
          <w:caps w:val="false"/>
          <w:smallCaps w:val="false"/>
          <w:sz w:val="20"/>
        </w:rPr>
        <w:t>Pre-Closing Class B Ordinary Shares</w:t>
      </w:r>
      <w:r>
        <w:rPr>
          <w:rFonts w:ascii="Times New Roman;Times;Serif" w:hAnsi="Times New Roman;Times;Serif"/>
          <w:b w:val="false"/>
          <w:i w:val="false"/>
          <w:caps w:val="false"/>
          <w:smallCaps w:val="false"/>
          <w:sz w:val="20"/>
        </w:rPr>
        <w:t>”). As a condition to the Closing under the Merger Agreement, all Pre-Closing Class B Ordinary Shares are required to be converted into an equal number of Company Class A Ordinary Shares prior to Closing, and no Company Class B Ordinary Shares shall remain outstanding prior to Closing. In consideration of Energy Science’s agreement to convert its Pre-Closing Class B Ordinary Shares and to support the transactions contemplated by the Merger Agreement, the Company agreed to register for resale under the Securities Act all Company Class A Ordinary Shares issued upon conversion of Pre-Closing Class B Ordinary Shares held by Energy Science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The Company is required to file an initial registration statement covering the resale of all Conversion Shares within 30 days following the Closing Date provided that all financial statements of the Company (as the accounting acquirer) then required by the SEC to be included therein are available, and to use reasonable best efforts to cause such registration statement to become effective within the timeframes set forth in the Energy Science Registration Rights Agreement. The Company has agreed to maintain the effectiveness of the registration statement until the earlier of the date all Conversion Shares have been sold and the date the Conversion Shares may be sold without restriction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the Support Agreement with Energy Science. Pursuant to the Support Agreement, Energy Science has irrevocably agreed to (i) vote all of its Company Class B Ordinary Shares in favor of the adoption of the A&amp;R MAA conditional upon and effective at the Effective Time, the Merger and all related resolutions, (ii) provide all consents and approvals required under the Company’s existing memorandum and articles of association from the holder of the Company Class B Ordinary Shares, and (iii) convert all of its Company Class B Ordinary Shares into Company Class A Ordinary Shares on a one-for-one basis prior to the Closing Date. Energy Science has also granted the Company an irrevocable proxy to vote its Company Class B Ordinary Shares in accordance with the foregoing. The Support Agreement will terminate automatically upon the earlier of the Closing and the termination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Escrow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will withhold an aggregate of 110,192 Company Class A Ordinary Shares (55,096 shares on behalf of each Seller) (the “</w:t>
      </w:r>
      <w:r>
        <w:rPr>
          <w:rFonts w:ascii="Times New Roman;Times;Serif" w:hAnsi="Times New Roman;Times;Serif"/>
          <w:b/>
          <w:i w:val="false"/>
          <w:caps w:val="false"/>
          <w:smallCaps w:val="false"/>
          <w:sz w:val="20"/>
        </w:rPr>
        <w:t>Escrow Shares</w:t>
      </w:r>
      <w:r>
        <w:rPr>
          <w:rFonts w:ascii="Times New Roman;Times;Serif" w:hAnsi="Times New Roman;Times;Serif"/>
          <w:b w:val="false"/>
          <w:i w:val="false"/>
          <w:caps w:val="false"/>
          <w:smallCaps w:val="false"/>
          <w:sz w:val="20"/>
        </w:rPr>
        <w:t>”) from the Consideration Shares and deposit them with an escrow agent (the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pursuant to an escrow agreement to be entered among the Company, the Sellers and the Escrow Agent. The Escrow Shares will represent an aggregate escrow value of approximately US$2.0 million. The Escrow Shares will be held for a period of twelve (12) months following the Closing Date (the “</w:t>
      </w:r>
      <w:r>
        <w:rPr>
          <w:rFonts w:ascii="Times New Roman;Times;Serif" w:hAnsi="Times New Roman;Times;Serif"/>
          <w:b/>
          <w:i w:val="false"/>
          <w:caps w:val="false"/>
          <w:smallCaps w:val="false"/>
          <w:sz w:val="20"/>
        </w:rPr>
        <w:t>Escrow Period</w:t>
      </w:r>
      <w:r>
        <w:rPr>
          <w:rFonts w:ascii="Times New Roman;Times;Serif" w:hAnsi="Times New Roman;Times;Serif"/>
          <w:b w:val="false"/>
          <w:i w:val="false"/>
          <w:caps w:val="false"/>
          <w:smallCaps w:val="false"/>
          <w:sz w:val="20"/>
        </w:rPr>
        <w:t>”) and will be available to satisfy the indemnification obligations of the Sellers under the Merger Agreement. Upon expiration of the Escrow Period, any Escrow Shares not subject to then-pending indemnification claims will be released to the Sellers. In lieu of forfeiture of Escrow Shares, the applicable Seller may elect to satisfy an indemnification obligation in cash. During the Escrow Period, the Sellers will retain all voting rights with respect to the Escrow Shares and will be entitled to receive all dividends and distributions declared thereon; provided, that any such dividends or distributions will be held by the Escrow Agent and will be subject to the same restrictions and release provisions as the Escrow Shares to which they relate. The Escrow Shares will serve as security for, but will not limit, the indemnification obligations of the Sellers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and 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option to purchase shares of Target common stock that is outstanding and unexercised immediately prior to the Effective Time (each, a “</w:t>
      </w:r>
      <w:r>
        <w:rPr>
          <w:rFonts w:ascii="Times New Roman;Times;Serif" w:hAnsi="Times New Roman;Times;Serif"/>
          <w:b/>
          <w:i w:val="false"/>
          <w:caps w:val="false"/>
          <w:smallCaps w:val="false"/>
          <w:sz w:val="20"/>
        </w:rPr>
        <w:t>Target Option</w:t>
      </w:r>
      <w:r>
        <w:rPr>
          <w:rFonts w:ascii="Times New Roman;Times;Serif" w:hAnsi="Times New Roman;Times;Serif"/>
          <w:b w:val="false"/>
          <w:i w:val="false"/>
          <w:caps w:val="false"/>
          <w:smallCaps w:val="false"/>
          <w:sz w:val="20"/>
        </w:rPr>
        <w:t>”), whether or not vested, will be cancelled and exchanged for an option to purchase Company Class A Ordinary Shares (each, a “</w:t>
      </w:r>
      <w:r>
        <w:rPr>
          <w:rFonts w:ascii="Times New Roman;Times;Serif" w:hAnsi="Times New Roman;Times;Serif"/>
          <w:b/>
          <w:i w:val="false"/>
          <w:caps w:val="false"/>
          <w:smallCaps w:val="false"/>
          <w:sz w:val="20"/>
        </w:rPr>
        <w:t>New Parent Option</w:t>
      </w:r>
      <w:r>
        <w:rPr>
          <w:rFonts w:ascii="Times New Roman;Times;Serif" w:hAnsi="Times New Roman;Times;Serif"/>
          <w:b w:val="false"/>
          <w:i w:val="false"/>
          <w:caps w:val="false"/>
          <w:smallCaps w:val="false"/>
          <w:sz w:val="20"/>
        </w:rPr>
        <w:t>”) pursuant to an Option and Exchange Agreement entered into by and between the Company, the Target and the applicable option holder. The number of Company Class A Ordinary Shares subject to each New Parent Option and the per share exercise price will be determined in accordance with the Merger Agreement so as to preserve, on a per-share basis, the ratio of exercise price to fair market value that existed immediately prior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Effective Time, the Company will enter into Indemnification Agreements with each of the post-Closing directors of the Company. Each Indemnification Agreement provides for indemnification, hold harmless, exoneration and advancement of expenses to the fullest extent permitted by the Company’s memorandum and articles of association and the Companies Act (As Revised)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on August 10, 2026, announcing that the Company has entered into the Merger Agreement and the relevant transactions described herein. A copy of this press release is furnished as Exhibit 99.1 hereto and shall not be deemed “filed” for purposes of Section 18 of the Securities Exchange Act of 1934, as amended, or otherwise subject to the liabilities of that section, nor shall it be deemed incorporated by reference in any filing under the Securities Act or the Securities Exchange Act of 1934, as amended,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as defined by the Private Securities Litigation Reform Act of 1995, Section 27A of the Securities Act of 1933, as amended, and Section 21E of the Securities Exchange Act of 1934, as amended. This Report on Form 6-K also includes express and implied forward-looking statements regarding the Company’s current expectations, estimates, opinions, and beliefs that are not historical facts. Such forward-looking statements may be identified by words such as “believes,” “expects,” “estimate,” “anticipates,” “targets,” “optimistic,” “confident,” “continues,” “predicts,” “intends,” “plans,” “aims,” “may,” “will,” “would” and the negative and variations of such words and similar words. Examples include, among others, statements regarding the expectations regarding the satisfaction of the closing conditions of the Merger and statements regarding Canopy Wave’s business strategy, market opportunity, and future performance. These statements are made based on current knowledge and, by their nature, involve numerous assumptions and uncertainties. Nothing set forth herein should be regarded as a representation, warranty, or prediction that the Company will achieve or is likely to achieve any future result. Actual results may differ materially from those indicated in the forward-looking statements because the realization of those results is subject to many risks and uncertainties, including risks and uncertainties identified in the Company’s filings with the U.S. Securities and Exchange Commission. Forward-looking statements contained in this Report on Form 6-K are made as of the date of this Report on Form 6-K, and the Company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7"/>
        <w:gridCol w:w="60"/>
        <w:gridCol w:w="9368"/>
      </w:tblGrid>
      <w:tr>
        <w:trPr/>
        <w:tc>
          <w:tcPr>
            <w:tcW w:w="77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8"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8" w:type="dxa"/>
            <w:tcBorders/>
            <w:shd w:fill="CCEEFF" w:val="clear"/>
            <w:tcMar>
              <w:bottom w:w="0" w:type="dxa"/>
            </w:tcMar>
            <w:vAlign w:val="center"/>
          </w:tcPr>
          <w:p>
            <w:pPr>
              <w:pStyle w:val="TableContents"/>
              <w:bidi w:val="0"/>
              <w:spacing w:before="0" w:after="283"/>
              <w:jc w:val="both"/>
              <w:rPr/>
            </w:pPr>
            <w:hyperlink w:anchor="ea030130601ex2-1.htm">
              <w:r>
                <w:rPr>
                  <w:rStyle w:val="InternetLink"/>
                  <w:rFonts w:ascii="Times New Roman;Times;Serif" w:hAnsi="Times New Roman;Times;Serif"/>
                  <w:sz w:val="20"/>
                </w:rPr>
                <w:t>Agreement and Plan of Merger, dated as of August 10, 2026, by and among SAIHEAT Limited, Saiheat Merger Sub, Inc., Canopy Wave Inc., Taoyue (Tao) Zhang, and Chunyi (James) Liao</w:t>
              </w:r>
            </w:hyperlink>
          </w:p>
        </w:tc>
      </w:tr>
      <w:tr>
        <w:trPr/>
        <w:tc>
          <w:tcPr>
            <w:tcW w:w="77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68" w:type="dxa"/>
            <w:tcBorders/>
            <w:shd w:fill="FFFFFF" w:val="clear"/>
            <w:tcMar>
              <w:bottom w:w="0" w:type="dxa"/>
            </w:tcMar>
            <w:vAlign w:val="center"/>
          </w:tcPr>
          <w:p>
            <w:pPr>
              <w:pStyle w:val="TableContents"/>
              <w:bidi w:val="0"/>
              <w:spacing w:before="0" w:after="283"/>
              <w:jc w:val="both"/>
              <w:rPr/>
            </w:pPr>
            <w:hyperlink w:anchor="ea030130601ex10-1.htm">
              <w:r>
                <w:rPr>
                  <w:rStyle w:val="InternetLink"/>
                  <w:rFonts w:ascii="Times New Roman;Times;Serif" w:hAnsi="Times New Roman;Times;Serif"/>
                  <w:sz w:val="20"/>
                </w:rPr>
                <w:t>Form of Option and Exchange Agreement, dated as of August 10, 2026, by and among SAIHEAT Limited, Canopy Wave Inc. and the applicable option holder party thereto, together with a schedule identifying the substantially identical agreements omitted pursuant to Instruction 2 to Item 601 of Regulation S-K</w:t>
              </w:r>
            </w:hyperlink>
          </w:p>
        </w:tc>
      </w:tr>
      <w:tr>
        <w:trPr/>
        <w:tc>
          <w:tcPr>
            <w:tcW w:w="77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68" w:type="dxa"/>
            <w:tcBorders/>
            <w:shd w:fill="CCEEFF" w:val="clear"/>
            <w:tcMar>
              <w:bottom w:w="0" w:type="dxa"/>
            </w:tcMar>
            <w:vAlign w:val="center"/>
          </w:tcPr>
          <w:p>
            <w:pPr>
              <w:pStyle w:val="TableContents"/>
              <w:bidi w:val="0"/>
              <w:spacing w:before="0" w:after="283"/>
              <w:jc w:val="both"/>
              <w:rPr/>
            </w:pPr>
            <w:hyperlink w:anchor="ea030130601ex10-2.htm">
              <w:r>
                <w:rPr>
                  <w:rStyle w:val="InternetLink"/>
                  <w:rFonts w:ascii="Times New Roman;Times;Serif" w:hAnsi="Times New Roman;Times;Serif"/>
                  <w:sz w:val="20"/>
                </w:rPr>
                <w:t>PIPE Share Purchase Agreement, dated as of August 10, 2026, by and among SAIHEAT Limited and the PIPE Investors named therein</w:t>
              </w:r>
            </w:hyperlink>
          </w:p>
        </w:tc>
      </w:tr>
      <w:tr>
        <w:trPr/>
        <w:tc>
          <w:tcPr>
            <w:tcW w:w="77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68" w:type="dxa"/>
            <w:tcBorders/>
            <w:shd w:fill="FFFFFF" w:val="clear"/>
            <w:tcMar>
              <w:bottom w:w="0" w:type="dxa"/>
            </w:tcMar>
            <w:vAlign w:val="center"/>
          </w:tcPr>
          <w:p>
            <w:pPr>
              <w:pStyle w:val="TableContents"/>
              <w:bidi w:val="0"/>
              <w:spacing w:before="0" w:after="283"/>
              <w:jc w:val="both"/>
              <w:rPr/>
            </w:pPr>
            <w:hyperlink w:anchor="ea030130601ex10-3.htm">
              <w:r>
                <w:rPr>
                  <w:rStyle w:val="InternetLink"/>
                  <w:rFonts w:ascii="Times New Roman;Times;Serif" w:hAnsi="Times New Roman;Times;Serif"/>
                  <w:sz w:val="20"/>
                </w:rPr>
                <w:t>Energy Science Registration Rights Agreement, dated as of July 28, 2026, by and between SAIHEAT Limited and Energy Science Artist Holding Limited</w:t>
              </w:r>
            </w:hyperlink>
          </w:p>
        </w:tc>
      </w:tr>
      <w:tr>
        <w:trPr/>
        <w:tc>
          <w:tcPr>
            <w:tcW w:w="77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68" w:type="dxa"/>
            <w:tcBorders/>
            <w:shd w:fill="CCEEFF" w:val="clear"/>
            <w:tcMar>
              <w:bottom w:w="0" w:type="dxa"/>
            </w:tcMar>
            <w:vAlign w:val="center"/>
          </w:tcPr>
          <w:p>
            <w:pPr>
              <w:pStyle w:val="TableContents"/>
              <w:bidi w:val="0"/>
              <w:spacing w:before="0" w:after="283"/>
              <w:jc w:val="both"/>
              <w:rPr/>
            </w:pPr>
            <w:hyperlink w:anchor="ea030130601ex10-4.htm">
              <w:r>
                <w:rPr>
                  <w:rStyle w:val="InternetLink"/>
                  <w:rFonts w:ascii="Times New Roman;Times;Serif" w:hAnsi="Times New Roman;Times;Serif"/>
                  <w:sz w:val="20"/>
                </w:rPr>
                <w:t>Support Agreement, dated as of August 10, 2026, by and between SAIHEAT Limited and Energy Science Artist Holding Limited</w:t>
              </w:r>
            </w:hyperlink>
          </w:p>
        </w:tc>
      </w:tr>
      <w:tr>
        <w:trPr/>
        <w:tc>
          <w:tcPr>
            <w:tcW w:w="77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68" w:type="dxa"/>
            <w:tcBorders/>
            <w:shd w:fill="FFFFFF" w:val="clear"/>
            <w:tcMar>
              <w:bottom w:w="0" w:type="dxa"/>
            </w:tcMar>
            <w:vAlign w:val="center"/>
          </w:tcPr>
          <w:p>
            <w:pPr>
              <w:pStyle w:val="TableContents"/>
              <w:bidi w:val="0"/>
              <w:spacing w:before="0" w:after="283"/>
              <w:jc w:val="both"/>
              <w:rPr/>
            </w:pPr>
            <w:hyperlink w:anchor="ea030130601ex99-1.htm">
              <w:r>
                <w:rPr>
                  <w:rStyle w:val="InternetLink"/>
                  <w:rFonts w:ascii="Times New Roman;Times;Serif" w:hAnsi="Times New Roman;Times;Serif"/>
                  <w:sz w:val="20"/>
                </w:rPr>
                <w:t>Press release dated August 10, 2026 – “SAIHEAT Enters into Definitive Merger Agreement with Canopy Wave to Build a Global AI Inference Platform”</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schedules and exhibits to this Agreement and Plan of Merger have been omitted pursuant to Item 601(b)(2) of Regulation S-K; the agreements attached as exhibits thereto are filed as Exhibits 10.1 through 10.4 hereto. The Registrant agrees to furnish supplementally a copy of any omitted schedule or exhibit to the Securities and Exchange Commission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identified information has been excluded from this exhibit pursuant to Item 601(b)(10)(iv) of Regulation S-K because it is both (i) not material and (ii) the type that the Registrant treats as private or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300"/>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SAIHEAT Limited</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Jianwei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Jianwei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Date: August 10, 2026</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30601ex2-1.htm"/>
      <w:bookmarkStart w:id="3" w:name="ksea030130601ex21"/>
      <w:bookmarkEnd w:id="2"/>
      <w:bookmarkEnd w:id="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PORTIONS OF THE EXHIBIT THAT ARE NOT MATERIAL AND IS THE TYPE OF INFORMATION THAT THE REGISTRANT TREATS AS PRIVATE OR CONFIDENTIAL HAVE BEEN REDACTED PURSUANT TO ITEM </w:t>
      </w:r>
      <w:r>
        <w:rPr>
          <w:rFonts w:ascii="Times New Roman;Times;Serif" w:hAnsi="Times New Roman;Times;Serif"/>
          <w:b w:val="false"/>
          <w:i/>
          <w:caps w:val="false"/>
          <w:smallCaps w:val="false"/>
          <w:sz w:val="20"/>
        </w:rPr>
        <w:t>601(b)(10</w:t>
      </w:r>
      <w:r>
        <w:rPr>
          <w:rFonts w:ascii="Times New Roman;Times;Serif" w:hAnsi="Times New Roman;Times;Serif"/>
          <w:b w:val="false"/>
          <w:i w:val="false"/>
          <w:caps w:val="false"/>
          <w:smallCaps w:val="false"/>
          <w:sz w:val="20"/>
        </w:rPr>
        <w:t>)(iv) OF REGULATION S-K. [****] INDICATES THAT INFORMATION HAS BEEN 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with limited liability incorporated under the laws of the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MERGER SUB,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CANOPY WAVE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Taoyue (Tao) Zhang,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Chunyi (James) Liao.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entered into as of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108"/>
        <w:gridCol w:w="8634"/>
        <w:gridCol w:w="276"/>
      </w:tblGrid>
      <w:tr>
        <w:trPr/>
        <w:tc>
          <w:tcPr>
            <w:tcW w:w="1295" w:type="dxa"/>
            <w:gridSpan w:val="2"/>
            <w:tcBorders/>
            <w:shd w:fill="CCEEFF" w:val="clear"/>
            <w:vAlign w:val="center"/>
          </w:tcPr>
          <w:p>
            <w:pPr>
              <w:pStyle w:val="TableContents"/>
              <w:bidi w:val="0"/>
              <w:spacing w:before="0" w:after="283"/>
              <w:jc w:val="left"/>
              <w:rPr/>
            </w:pPr>
            <w:r>
              <w:rPr/>
              <w:t>SECTION 1.</w:t>
            </w:r>
          </w:p>
        </w:tc>
        <w:tc>
          <w:tcPr>
            <w:tcW w:w="8634" w:type="dxa"/>
            <w:tcBorders/>
            <w:shd w:fill="CCEEFF" w:val="clear"/>
            <w:vAlign w:val="center"/>
          </w:tcPr>
          <w:p>
            <w:pPr>
              <w:pStyle w:val="TableContents"/>
              <w:bidi w:val="0"/>
              <w:spacing w:before="0" w:after="283"/>
              <w:jc w:val="left"/>
              <w:rPr/>
            </w:pPr>
            <w:r>
              <w:rPr/>
              <w:t>DESCRIPTION OF TRANSACTION</w:t>
            </w:r>
          </w:p>
        </w:tc>
        <w:tc>
          <w:tcPr>
            <w:tcW w:w="276" w:type="dxa"/>
            <w:tcBorders/>
            <w:shd w:fill="CCEEFF" w:val="clear"/>
            <w:vAlign w:val="center"/>
          </w:tcPr>
          <w:p>
            <w:pPr>
              <w:pStyle w:val="TableContents"/>
              <w:bidi w:val="0"/>
              <w:spacing w:before="0" w:after="283"/>
              <w:jc w:val="center"/>
              <w:rPr/>
            </w:pPr>
            <w:r>
              <w:rPr/>
              <w:t>2</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1.1</w:t>
            </w:r>
          </w:p>
        </w:tc>
        <w:tc>
          <w:tcPr>
            <w:tcW w:w="8634" w:type="dxa"/>
            <w:tcBorders/>
            <w:shd w:fill="FFFFFF" w:val="clear"/>
            <w:vAlign w:val="center"/>
          </w:tcPr>
          <w:p>
            <w:pPr>
              <w:pStyle w:val="TableContents"/>
              <w:bidi w:val="0"/>
              <w:spacing w:before="0" w:after="283"/>
              <w:jc w:val="left"/>
              <w:rPr/>
            </w:pPr>
            <w:r>
              <w:rPr/>
              <w:t>The Merger</w:t>
            </w:r>
          </w:p>
        </w:tc>
        <w:tc>
          <w:tcPr>
            <w:tcW w:w="276" w:type="dxa"/>
            <w:tcBorders/>
            <w:shd w:fill="FFFFFF" w:val="clear"/>
            <w:vAlign w:val="center"/>
          </w:tcPr>
          <w:p>
            <w:pPr>
              <w:pStyle w:val="TableContents"/>
              <w:bidi w:val="0"/>
              <w:spacing w:before="0" w:after="283"/>
              <w:jc w:val="center"/>
              <w:rPr/>
            </w:pPr>
            <w:r>
              <w:rPr/>
              <w:t>2</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1.2</w:t>
            </w:r>
          </w:p>
        </w:tc>
        <w:tc>
          <w:tcPr>
            <w:tcW w:w="8634" w:type="dxa"/>
            <w:tcBorders/>
            <w:shd w:fill="CCEEFF" w:val="clear"/>
            <w:vAlign w:val="center"/>
          </w:tcPr>
          <w:p>
            <w:pPr>
              <w:pStyle w:val="TableContents"/>
              <w:bidi w:val="0"/>
              <w:spacing w:before="0" w:after="283"/>
              <w:jc w:val="left"/>
              <w:rPr/>
            </w:pPr>
            <w:r>
              <w:rPr/>
              <w:t>Effects of the Merger</w:t>
            </w:r>
          </w:p>
        </w:tc>
        <w:tc>
          <w:tcPr>
            <w:tcW w:w="276" w:type="dxa"/>
            <w:tcBorders/>
            <w:shd w:fill="CCEEFF" w:val="clear"/>
            <w:vAlign w:val="center"/>
          </w:tcPr>
          <w:p>
            <w:pPr>
              <w:pStyle w:val="TableContents"/>
              <w:bidi w:val="0"/>
              <w:spacing w:before="0" w:after="283"/>
              <w:jc w:val="center"/>
              <w:rPr/>
            </w:pPr>
            <w:r>
              <w:rPr/>
              <w:t>2</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1.3</w:t>
            </w:r>
          </w:p>
        </w:tc>
        <w:tc>
          <w:tcPr>
            <w:tcW w:w="8634" w:type="dxa"/>
            <w:tcBorders/>
            <w:shd w:fill="FFFFFF" w:val="clear"/>
            <w:vAlign w:val="center"/>
          </w:tcPr>
          <w:p>
            <w:pPr>
              <w:pStyle w:val="TableContents"/>
              <w:bidi w:val="0"/>
              <w:spacing w:before="0" w:after="283"/>
              <w:jc w:val="left"/>
              <w:rPr/>
            </w:pPr>
            <w:r>
              <w:rPr/>
              <w:t>Closing; Effective Time</w:t>
            </w:r>
          </w:p>
        </w:tc>
        <w:tc>
          <w:tcPr>
            <w:tcW w:w="276" w:type="dxa"/>
            <w:tcBorders/>
            <w:shd w:fill="FFFFFF" w:val="clear"/>
            <w:vAlign w:val="center"/>
          </w:tcPr>
          <w:p>
            <w:pPr>
              <w:pStyle w:val="TableContents"/>
              <w:bidi w:val="0"/>
              <w:spacing w:before="0" w:after="283"/>
              <w:jc w:val="center"/>
              <w:rPr/>
            </w:pPr>
            <w:r>
              <w:rPr/>
              <w:t>2</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1.4</w:t>
            </w:r>
          </w:p>
        </w:tc>
        <w:tc>
          <w:tcPr>
            <w:tcW w:w="8634" w:type="dxa"/>
            <w:tcBorders/>
            <w:shd w:fill="CCEEFF" w:val="clear"/>
            <w:vAlign w:val="center"/>
          </w:tcPr>
          <w:p>
            <w:pPr>
              <w:pStyle w:val="TableContents"/>
              <w:bidi w:val="0"/>
              <w:spacing w:before="0" w:after="283"/>
              <w:jc w:val="left"/>
              <w:rPr/>
            </w:pPr>
            <w:r>
              <w:rPr/>
              <w:t>Certificate of Incorporation and Bylaws; Directors and Officers</w:t>
            </w:r>
          </w:p>
        </w:tc>
        <w:tc>
          <w:tcPr>
            <w:tcW w:w="276" w:type="dxa"/>
            <w:tcBorders/>
            <w:shd w:fill="CCEEFF" w:val="clear"/>
            <w:vAlign w:val="center"/>
          </w:tcPr>
          <w:p>
            <w:pPr>
              <w:pStyle w:val="TableContents"/>
              <w:bidi w:val="0"/>
              <w:spacing w:before="0" w:after="283"/>
              <w:jc w:val="center"/>
              <w:rPr/>
            </w:pPr>
            <w:r>
              <w:rPr/>
              <w:t>3</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1.5</w:t>
            </w:r>
          </w:p>
        </w:tc>
        <w:tc>
          <w:tcPr>
            <w:tcW w:w="8634" w:type="dxa"/>
            <w:tcBorders/>
            <w:shd w:fill="FFFFFF" w:val="clear"/>
            <w:vAlign w:val="center"/>
          </w:tcPr>
          <w:p>
            <w:pPr>
              <w:pStyle w:val="TableContents"/>
              <w:bidi w:val="0"/>
              <w:spacing w:before="0" w:after="283"/>
              <w:jc w:val="left"/>
              <w:rPr/>
            </w:pPr>
            <w:r>
              <w:rPr/>
              <w:t>Merger Consideration</w:t>
            </w:r>
          </w:p>
        </w:tc>
        <w:tc>
          <w:tcPr>
            <w:tcW w:w="276" w:type="dxa"/>
            <w:tcBorders/>
            <w:shd w:fill="FFFFFF" w:val="clear"/>
            <w:vAlign w:val="center"/>
          </w:tcPr>
          <w:p>
            <w:pPr>
              <w:pStyle w:val="TableContents"/>
              <w:bidi w:val="0"/>
              <w:spacing w:before="0" w:after="283"/>
              <w:jc w:val="center"/>
              <w:rPr/>
            </w:pPr>
            <w:r>
              <w:rPr/>
              <w:t>4</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1.6</w:t>
            </w:r>
          </w:p>
        </w:tc>
        <w:tc>
          <w:tcPr>
            <w:tcW w:w="8634" w:type="dxa"/>
            <w:tcBorders/>
            <w:shd w:fill="CCEEFF" w:val="clear"/>
            <w:vAlign w:val="center"/>
          </w:tcPr>
          <w:p>
            <w:pPr>
              <w:pStyle w:val="TableContents"/>
              <w:bidi w:val="0"/>
              <w:spacing w:before="0" w:after="283"/>
              <w:jc w:val="left"/>
              <w:rPr/>
            </w:pPr>
            <w:r>
              <w:rPr/>
              <w:t>Conversion of Shares</w:t>
            </w:r>
          </w:p>
        </w:tc>
        <w:tc>
          <w:tcPr>
            <w:tcW w:w="276" w:type="dxa"/>
            <w:tcBorders/>
            <w:shd w:fill="CCEEFF" w:val="clear"/>
            <w:vAlign w:val="center"/>
          </w:tcPr>
          <w:p>
            <w:pPr>
              <w:pStyle w:val="TableContents"/>
              <w:bidi w:val="0"/>
              <w:spacing w:before="0" w:after="283"/>
              <w:jc w:val="center"/>
              <w:rPr/>
            </w:pPr>
            <w:r>
              <w:rPr/>
              <w:t>4</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1.7</w:t>
            </w:r>
          </w:p>
        </w:tc>
        <w:tc>
          <w:tcPr>
            <w:tcW w:w="8634" w:type="dxa"/>
            <w:tcBorders/>
            <w:shd w:fill="FFFFFF" w:val="clear"/>
            <w:vAlign w:val="center"/>
          </w:tcPr>
          <w:p>
            <w:pPr>
              <w:pStyle w:val="TableContents"/>
              <w:bidi w:val="0"/>
              <w:spacing w:before="0" w:after="283"/>
              <w:jc w:val="left"/>
              <w:rPr/>
            </w:pPr>
            <w:r>
              <w:rPr/>
              <w:t>Closing of the Company’s Transfer Books</w:t>
            </w:r>
          </w:p>
        </w:tc>
        <w:tc>
          <w:tcPr>
            <w:tcW w:w="276" w:type="dxa"/>
            <w:tcBorders/>
            <w:shd w:fill="FFFFFF" w:val="clear"/>
            <w:vAlign w:val="center"/>
          </w:tcPr>
          <w:p>
            <w:pPr>
              <w:pStyle w:val="TableContents"/>
              <w:bidi w:val="0"/>
              <w:spacing w:before="0" w:after="283"/>
              <w:jc w:val="center"/>
              <w:rPr/>
            </w:pPr>
            <w:r>
              <w:rPr/>
              <w:t>5</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1.8</w:t>
            </w:r>
          </w:p>
        </w:tc>
        <w:tc>
          <w:tcPr>
            <w:tcW w:w="8634" w:type="dxa"/>
            <w:tcBorders/>
            <w:shd w:fill="CCEEFF" w:val="clear"/>
            <w:vAlign w:val="center"/>
          </w:tcPr>
          <w:p>
            <w:pPr>
              <w:pStyle w:val="TableContents"/>
              <w:bidi w:val="0"/>
              <w:spacing w:before="0" w:after="283"/>
              <w:jc w:val="left"/>
              <w:rPr/>
            </w:pPr>
            <w:r>
              <w:rPr/>
              <w:t>Exchange of Shares</w:t>
            </w:r>
          </w:p>
        </w:tc>
        <w:tc>
          <w:tcPr>
            <w:tcW w:w="276" w:type="dxa"/>
            <w:tcBorders/>
            <w:shd w:fill="CCEEFF" w:val="clear"/>
            <w:vAlign w:val="center"/>
          </w:tcPr>
          <w:p>
            <w:pPr>
              <w:pStyle w:val="TableContents"/>
              <w:bidi w:val="0"/>
              <w:spacing w:before="0" w:after="283"/>
              <w:jc w:val="center"/>
              <w:rPr/>
            </w:pPr>
            <w:r>
              <w:rPr/>
              <w:t>6</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1.9</w:t>
            </w:r>
          </w:p>
        </w:tc>
        <w:tc>
          <w:tcPr>
            <w:tcW w:w="8634" w:type="dxa"/>
            <w:tcBorders/>
            <w:shd w:fill="FFFFFF" w:val="clear"/>
            <w:vAlign w:val="center"/>
          </w:tcPr>
          <w:p>
            <w:pPr>
              <w:pStyle w:val="TableContents"/>
              <w:bidi w:val="0"/>
              <w:spacing w:before="0" w:after="283"/>
              <w:jc w:val="left"/>
              <w:rPr/>
            </w:pPr>
            <w:r>
              <w:rPr/>
              <w:t>Company Equity Awards</w:t>
            </w:r>
          </w:p>
        </w:tc>
        <w:tc>
          <w:tcPr>
            <w:tcW w:w="276" w:type="dxa"/>
            <w:tcBorders/>
            <w:shd w:fill="FFFFFF" w:val="clear"/>
            <w:vAlign w:val="center"/>
          </w:tcPr>
          <w:p>
            <w:pPr>
              <w:pStyle w:val="TableContents"/>
              <w:bidi w:val="0"/>
              <w:spacing w:before="0" w:after="283"/>
              <w:jc w:val="center"/>
              <w:rPr/>
            </w:pPr>
            <w:r>
              <w:rPr/>
              <w:t>7</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1.10</w:t>
            </w:r>
          </w:p>
        </w:tc>
        <w:tc>
          <w:tcPr>
            <w:tcW w:w="8634" w:type="dxa"/>
            <w:tcBorders/>
            <w:shd w:fill="CCEEFF" w:val="clear"/>
            <w:vAlign w:val="center"/>
          </w:tcPr>
          <w:p>
            <w:pPr>
              <w:pStyle w:val="TableContents"/>
              <w:bidi w:val="0"/>
              <w:spacing w:before="0" w:after="283"/>
              <w:jc w:val="left"/>
              <w:rPr/>
            </w:pPr>
            <w:r>
              <w:rPr/>
              <w:t>Withholding</w:t>
            </w:r>
          </w:p>
        </w:tc>
        <w:tc>
          <w:tcPr>
            <w:tcW w:w="276" w:type="dxa"/>
            <w:tcBorders/>
            <w:shd w:fill="CCEEFF" w:val="clear"/>
            <w:vAlign w:val="center"/>
          </w:tcPr>
          <w:p>
            <w:pPr>
              <w:pStyle w:val="TableContents"/>
              <w:bidi w:val="0"/>
              <w:spacing w:before="0" w:after="283"/>
              <w:jc w:val="center"/>
              <w:rPr/>
            </w:pPr>
            <w:r>
              <w:rPr/>
              <w:t>7</w:t>
            </w:r>
          </w:p>
        </w:tc>
      </w:tr>
      <w:tr>
        <w:trPr/>
        <w:tc>
          <w:tcPr>
            <w:tcW w:w="1295" w:type="dxa"/>
            <w:gridSpan w:val="2"/>
            <w:tcBorders/>
            <w:shd w:fill="FFFFFF" w:val="clear"/>
            <w:vAlign w:val="center"/>
          </w:tcPr>
          <w:p>
            <w:pPr>
              <w:pStyle w:val="TableContents"/>
              <w:bidi w:val="0"/>
              <w:spacing w:before="0" w:after="283"/>
              <w:jc w:val="left"/>
              <w:rPr/>
            </w:pPr>
            <w:r>
              <w:rPr/>
              <w:t>SECTION 2.</w:t>
            </w:r>
          </w:p>
        </w:tc>
        <w:tc>
          <w:tcPr>
            <w:tcW w:w="8634" w:type="dxa"/>
            <w:tcBorders/>
            <w:shd w:fill="FFFFFF" w:val="clear"/>
            <w:vAlign w:val="center"/>
          </w:tcPr>
          <w:p>
            <w:pPr>
              <w:pStyle w:val="TableContents"/>
              <w:bidi w:val="0"/>
              <w:spacing w:before="0" w:after="283"/>
              <w:jc w:val="left"/>
              <w:rPr/>
            </w:pPr>
            <w:r>
              <w:rPr/>
              <w:t>REPRESENTATIONS AND WARRANTIES OF THE COMPANY AND THE SELLERS</w:t>
            </w:r>
          </w:p>
        </w:tc>
        <w:tc>
          <w:tcPr>
            <w:tcW w:w="276" w:type="dxa"/>
            <w:tcBorders/>
            <w:shd w:fill="FFFFFF" w:val="clear"/>
            <w:vAlign w:val="center"/>
          </w:tcPr>
          <w:p>
            <w:pPr>
              <w:pStyle w:val="TableContents"/>
              <w:bidi w:val="0"/>
              <w:spacing w:before="0" w:after="283"/>
              <w:jc w:val="center"/>
              <w:rPr/>
            </w:pPr>
            <w:r>
              <w:rPr/>
              <w:t>8</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2.1</w:t>
            </w:r>
          </w:p>
        </w:tc>
        <w:tc>
          <w:tcPr>
            <w:tcW w:w="8634" w:type="dxa"/>
            <w:tcBorders/>
            <w:shd w:fill="CCEEFF" w:val="clear"/>
            <w:vAlign w:val="center"/>
          </w:tcPr>
          <w:p>
            <w:pPr>
              <w:pStyle w:val="TableContents"/>
              <w:bidi w:val="0"/>
              <w:spacing w:before="0" w:after="283"/>
              <w:jc w:val="left"/>
              <w:rPr/>
            </w:pPr>
            <w:r>
              <w:rPr/>
              <w:t>Due Organization; Subsidiaries</w:t>
            </w:r>
          </w:p>
        </w:tc>
        <w:tc>
          <w:tcPr>
            <w:tcW w:w="276" w:type="dxa"/>
            <w:tcBorders/>
            <w:shd w:fill="CCEEFF" w:val="clear"/>
            <w:vAlign w:val="center"/>
          </w:tcPr>
          <w:p>
            <w:pPr>
              <w:pStyle w:val="TableContents"/>
              <w:bidi w:val="0"/>
              <w:spacing w:before="0" w:after="283"/>
              <w:jc w:val="center"/>
              <w:rPr/>
            </w:pPr>
            <w:r>
              <w:rPr/>
              <w:t>8</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2.2</w:t>
            </w:r>
          </w:p>
        </w:tc>
        <w:tc>
          <w:tcPr>
            <w:tcW w:w="8634" w:type="dxa"/>
            <w:tcBorders/>
            <w:shd w:fill="FFFFFF" w:val="clear"/>
            <w:vAlign w:val="center"/>
          </w:tcPr>
          <w:p>
            <w:pPr>
              <w:pStyle w:val="TableContents"/>
              <w:bidi w:val="0"/>
              <w:spacing w:before="0" w:after="283"/>
              <w:jc w:val="left"/>
              <w:rPr/>
            </w:pPr>
            <w:r>
              <w:rPr/>
              <w:t>Organizational Documents</w:t>
            </w:r>
          </w:p>
        </w:tc>
        <w:tc>
          <w:tcPr>
            <w:tcW w:w="276" w:type="dxa"/>
            <w:tcBorders/>
            <w:shd w:fill="FFFFFF" w:val="clear"/>
            <w:vAlign w:val="center"/>
          </w:tcPr>
          <w:p>
            <w:pPr>
              <w:pStyle w:val="TableContents"/>
              <w:bidi w:val="0"/>
              <w:spacing w:before="0" w:after="283"/>
              <w:jc w:val="center"/>
              <w:rPr/>
            </w:pPr>
            <w:r>
              <w:rPr/>
              <w:t>8</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2.3</w:t>
            </w:r>
          </w:p>
        </w:tc>
        <w:tc>
          <w:tcPr>
            <w:tcW w:w="8634" w:type="dxa"/>
            <w:tcBorders/>
            <w:shd w:fill="CCEEFF" w:val="clear"/>
            <w:vAlign w:val="center"/>
          </w:tcPr>
          <w:p>
            <w:pPr>
              <w:pStyle w:val="TableContents"/>
              <w:bidi w:val="0"/>
              <w:spacing w:before="0" w:after="283"/>
              <w:jc w:val="left"/>
              <w:rPr/>
            </w:pPr>
            <w:r>
              <w:rPr/>
              <w:t>Authority; Binding Nature of Agreement</w:t>
            </w:r>
          </w:p>
        </w:tc>
        <w:tc>
          <w:tcPr>
            <w:tcW w:w="276" w:type="dxa"/>
            <w:tcBorders/>
            <w:shd w:fill="CCEEFF" w:val="clear"/>
            <w:vAlign w:val="center"/>
          </w:tcPr>
          <w:p>
            <w:pPr>
              <w:pStyle w:val="TableContents"/>
              <w:bidi w:val="0"/>
              <w:spacing w:before="0" w:after="283"/>
              <w:jc w:val="center"/>
              <w:rPr/>
            </w:pPr>
            <w:r>
              <w:rPr/>
              <w:t>8</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2.4</w:t>
            </w:r>
          </w:p>
        </w:tc>
        <w:tc>
          <w:tcPr>
            <w:tcW w:w="8634" w:type="dxa"/>
            <w:tcBorders/>
            <w:shd w:fill="FFFFFF" w:val="clear"/>
            <w:vAlign w:val="center"/>
          </w:tcPr>
          <w:p>
            <w:pPr>
              <w:pStyle w:val="TableContents"/>
              <w:bidi w:val="0"/>
              <w:spacing w:before="0" w:after="283"/>
              <w:jc w:val="left"/>
              <w:rPr/>
            </w:pPr>
            <w:r>
              <w:rPr/>
              <w:t>Non-Contravention; Consents</w:t>
            </w:r>
          </w:p>
        </w:tc>
        <w:tc>
          <w:tcPr>
            <w:tcW w:w="276" w:type="dxa"/>
            <w:tcBorders/>
            <w:shd w:fill="FFFFFF" w:val="clear"/>
            <w:vAlign w:val="center"/>
          </w:tcPr>
          <w:p>
            <w:pPr>
              <w:pStyle w:val="TableContents"/>
              <w:bidi w:val="0"/>
              <w:spacing w:before="0" w:after="283"/>
              <w:jc w:val="center"/>
              <w:rPr/>
            </w:pPr>
            <w:r>
              <w:rPr/>
              <w:t>9</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2.5</w:t>
            </w:r>
          </w:p>
        </w:tc>
        <w:tc>
          <w:tcPr>
            <w:tcW w:w="8634" w:type="dxa"/>
            <w:tcBorders/>
            <w:shd w:fill="CCEEFF" w:val="clear"/>
            <w:vAlign w:val="center"/>
          </w:tcPr>
          <w:p>
            <w:pPr>
              <w:pStyle w:val="TableContents"/>
              <w:bidi w:val="0"/>
              <w:spacing w:before="0" w:after="283"/>
              <w:jc w:val="left"/>
              <w:rPr/>
            </w:pPr>
            <w:r>
              <w:rPr/>
              <w:t>Capitalization</w:t>
            </w:r>
          </w:p>
        </w:tc>
        <w:tc>
          <w:tcPr>
            <w:tcW w:w="276" w:type="dxa"/>
            <w:tcBorders/>
            <w:shd w:fill="CCEEFF" w:val="clear"/>
            <w:vAlign w:val="center"/>
          </w:tcPr>
          <w:p>
            <w:pPr>
              <w:pStyle w:val="TableContents"/>
              <w:bidi w:val="0"/>
              <w:spacing w:before="0" w:after="283"/>
              <w:jc w:val="center"/>
              <w:rPr/>
            </w:pPr>
            <w:r>
              <w:rPr/>
              <w:t>10</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2.6</w:t>
            </w:r>
          </w:p>
        </w:tc>
        <w:tc>
          <w:tcPr>
            <w:tcW w:w="8634" w:type="dxa"/>
            <w:tcBorders/>
            <w:shd w:fill="FFFFFF" w:val="clear"/>
            <w:vAlign w:val="center"/>
          </w:tcPr>
          <w:p>
            <w:pPr>
              <w:pStyle w:val="TableContents"/>
              <w:bidi w:val="0"/>
              <w:spacing w:before="0" w:after="283"/>
              <w:jc w:val="left"/>
              <w:rPr/>
            </w:pPr>
            <w:r>
              <w:rPr/>
              <w:t>Financial Statements</w:t>
            </w:r>
          </w:p>
        </w:tc>
        <w:tc>
          <w:tcPr>
            <w:tcW w:w="276" w:type="dxa"/>
            <w:tcBorders/>
            <w:shd w:fill="FFFFFF" w:val="clear"/>
            <w:vAlign w:val="center"/>
          </w:tcPr>
          <w:p>
            <w:pPr>
              <w:pStyle w:val="TableContents"/>
              <w:bidi w:val="0"/>
              <w:spacing w:before="0" w:after="283"/>
              <w:jc w:val="center"/>
              <w:rPr/>
            </w:pPr>
            <w:r>
              <w:rPr/>
              <w:t>12</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2.7</w:t>
            </w:r>
          </w:p>
        </w:tc>
        <w:tc>
          <w:tcPr>
            <w:tcW w:w="8634" w:type="dxa"/>
            <w:tcBorders/>
            <w:shd w:fill="CCEEFF" w:val="clear"/>
            <w:vAlign w:val="center"/>
          </w:tcPr>
          <w:p>
            <w:pPr>
              <w:pStyle w:val="TableContents"/>
              <w:bidi w:val="0"/>
              <w:spacing w:before="0" w:after="283"/>
              <w:jc w:val="left"/>
              <w:rPr/>
            </w:pPr>
            <w:r>
              <w:rPr/>
              <w:t>Absence of Changes</w:t>
            </w:r>
          </w:p>
        </w:tc>
        <w:tc>
          <w:tcPr>
            <w:tcW w:w="276" w:type="dxa"/>
            <w:tcBorders/>
            <w:shd w:fill="CCEEFF" w:val="clear"/>
            <w:vAlign w:val="center"/>
          </w:tcPr>
          <w:p>
            <w:pPr>
              <w:pStyle w:val="TableContents"/>
              <w:bidi w:val="0"/>
              <w:spacing w:before="0" w:after="283"/>
              <w:jc w:val="center"/>
              <w:rPr/>
            </w:pPr>
            <w:r>
              <w:rPr/>
              <w:t>12</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2.8</w:t>
            </w:r>
          </w:p>
        </w:tc>
        <w:tc>
          <w:tcPr>
            <w:tcW w:w="8634" w:type="dxa"/>
            <w:tcBorders/>
            <w:shd w:fill="FFFFFF" w:val="clear"/>
            <w:vAlign w:val="center"/>
          </w:tcPr>
          <w:p>
            <w:pPr>
              <w:pStyle w:val="TableContents"/>
              <w:bidi w:val="0"/>
              <w:spacing w:before="0" w:after="283"/>
              <w:jc w:val="left"/>
              <w:rPr/>
            </w:pPr>
            <w:r>
              <w:rPr/>
              <w:t>Absence of Undisclosed Liabilities</w:t>
            </w:r>
          </w:p>
        </w:tc>
        <w:tc>
          <w:tcPr>
            <w:tcW w:w="276" w:type="dxa"/>
            <w:tcBorders/>
            <w:shd w:fill="FFFFFF" w:val="clear"/>
            <w:vAlign w:val="center"/>
          </w:tcPr>
          <w:p>
            <w:pPr>
              <w:pStyle w:val="TableContents"/>
              <w:bidi w:val="0"/>
              <w:spacing w:before="0" w:after="283"/>
              <w:jc w:val="center"/>
              <w:rPr/>
            </w:pPr>
            <w:r>
              <w:rPr/>
              <w:t>13</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2.9</w:t>
            </w:r>
          </w:p>
        </w:tc>
        <w:tc>
          <w:tcPr>
            <w:tcW w:w="8634" w:type="dxa"/>
            <w:tcBorders/>
            <w:shd w:fill="CCEEFF" w:val="clear"/>
            <w:vAlign w:val="center"/>
          </w:tcPr>
          <w:p>
            <w:pPr>
              <w:pStyle w:val="TableContents"/>
              <w:bidi w:val="0"/>
              <w:spacing w:before="0" w:after="283"/>
              <w:jc w:val="left"/>
              <w:rPr/>
            </w:pPr>
            <w:r>
              <w:rPr/>
              <w:t>Title to Assets</w:t>
            </w:r>
          </w:p>
        </w:tc>
        <w:tc>
          <w:tcPr>
            <w:tcW w:w="276" w:type="dxa"/>
            <w:tcBorders/>
            <w:shd w:fill="CCEEFF" w:val="clear"/>
            <w:vAlign w:val="center"/>
          </w:tcPr>
          <w:p>
            <w:pPr>
              <w:pStyle w:val="TableContents"/>
              <w:bidi w:val="0"/>
              <w:spacing w:before="0" w:after="283"/>
              <w:jc w:val="center"/>
              <w:rPr/>
            </w:pPr>
            <w:r>
              <w:rPr/>
              <w:t>13</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2.10</w:t>
            </w:r>
          </w:p>
        </w:tc>
        <w:tc>
          <w:tcPr>
            <w:tcW w:w="8634" w:type="dxa"/>
            <w:tcBorders/>
            <w:shd w:fill="FFFFFF" w:val="clear"/>
            <w:vAlign w:val="center"/>
          </w:tcPr>
          <w:p>
            <w:pPr>
              <w:pStyle w:val="TableContents"/>
              <w:bidi w:val="0"/>
              <w:spacing w:before="0" w:after="283"/>
              <w:jc w:val="left"/>
              <w:rPr/>
            </w:pPr>
            <w:r>
              <w:rPr/>
              <w:t>Real Property; Leasehold</w:t>
            </w:r>
          </w:p>
        </w:tc>
        <w:tc>
          <w:tcPr>
            <w:tcW w:w="276" w:type="dxa"/>
            <w:tcBorders/>
            <w:shd w:fill="FFFFFF" w:val="clear"/>
            <w:vAlign w:val="center"/>
          </w:tcPr>
          <w:p>
            <w:pPr>
              <w:pStyle w:val="TableContents"/>
              <w:bidi w:val="0"/>
              <w:spacing w:before="0" w:after="283"/>
              <w:jc w:val="center"/>
              <w:rPr/>
            </w:pPr>
            <w:r>
              <w:rPr/>
              <w:t>13</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2.11</w:t>
            </w:r>
          </w:p>
        </w:tc>
        <w:tc>
          <w:tcPr>
            <w:tcW w:w="8634" w:type="dxa"/>
            <w:tcBorders/>
            <w:shd w:fill="CCEEFF" w:val="clear"/>
            <w:vAlign w:val="center"/>
          </w:tcPr>
          <w:p>
            <w:pPr>
              <w:pStyle w:val="TableContents"/>
              <w:bidi w:val="0"/>
              <w:spacing w:before="0" w:after="283"/>
              <w:jc w:val="left"/>
              <w:rPr/>
            </w:pPr>
            <w:r>
              <w:rPr/>
              <w:t>Intellectual Property</w:t>
            </w:r>
          </w:p>
        </w:tc>
        <w:tc>
          <w:tcPr>
            <w:tcW w:w="276" w:type="dxa"/>
            <w:tcBorders/>
            <w:shd w:fill="CCEEFF" w:val="clear"/>
            <w:vAlign w:val="center"/>
          </w:tcPr>
          <w:p>
            <w:pPr>
              <w:pStyle w:val="TableContents"/>
              <w:bidi w:val="0"/>
              <w:spacing w:before="0" w:after="283"/>
              <w:jc w:val="center"/>
              <w:rPr/>
            </w:pPr>
            <w:r>
              <w:rPr/>
              <w:t>13</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2.12</w:t>
            </w:r>
          </w:p>
        </w:tc>
        <w:tc>
          <w:tcPr>
            <w:tcW w:w="8634" w:type="dxa"/>
            <w:tcBorders/>
            <w:shd w:fill="FFFFFF" w:val="clear"/>
            <w:vAlign w:val="center"/>
          </w:tcPr>
          <w:p>
            <w:pPr>
              <w:pStyle w:val="TableContents"/>
              <w:bidi w:val="0"/>
              <w:spacing w:before="0" w:after="283"/>
              <w:jc w:val="left"/>
              <w:rPr/>
            </w:pPr>
            <w:r>
              <w:rPr/>
              <w:t>Agreements, Contracts and Commitments</w:t>
            </w:r>
          </w:p>
        </w:tc>
        <w:tc>
          <w:tcPr>
            <w:tcW w:w="276" w:type="dxa"/>
            <w:tcBorders/>
            <w:shd w:fill="FFFFFF" w:val="clear"/>
            <w:vAlign w:val="center"/>
          </w:tcPr>
          <w:p>
            <w:pPr>
              <w:pStyle w:val="TableContents"/>
              <w:bidi w:val="0"/>
              <w:spacing w:before="0" w:after="283"/>
              <w:jc w:val="center"/>
              <w:rPr/>
            </w:pPr>
            <w:r>
              <w:rPr/>
              <w:t>15</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2.13</w:t>
            </w:r>
          </w:p>
        </w:tc>
        <w:tc>
          <w:tcPr>
            <w:tcW w:w="8634" w:type="dxa"/>
            <w:tcBorders/>
            <w:shd w:fill="CCEEFF" w:val="clear"/>
            <w:vAlign w:val="center"/>
          </w:tcPr>
          <w:p>
            <w:pPr>
              <w:pStyle w:val="TableContents"/>
              <w:bidi w:val="0"/>
              <w:spacing w:before="0" w:after="283"/>
              <w:jc w:val="left"/>
              <w:rPr/>
            </w:pPr>
            <w:r>
              <w:rPr/>
              <w:t>Compliance; Permits; Restrictions</w:t>
            </w:r>
          </w:p>
        </w:tc>
        <w:tc>
          <w:tcPr>
            <w:tcW w:w="276" w:type="dxa"/>
            <w:tcBorders/>
            <w:shd w:fill="CCEEFF" w:val="clear"/>
            <w:vAlign w:val="center"/>
          </w:tcPr>
          <w:p>
            <w:pPr>
              <w:pStyle w:val="TableContents"/>
              <w:bidi w:val="0"/>
              <w:spacing w:before="0" w:after="283"/>
              <w:jc w:val="center"/>
              <w:rPr/>
            </w:pPr>
            <w:r>
              <w:rPr/>
              <w:t>17</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2.14</w:t>
            </w:r>
          </w:p>
        </w:tc>
        <w:tc>
          <w:tcPr>
            <w:tcW w:w="8634" w:type="dxa"/>
            <w:tcBorders/>
            <w:shd w:fill="FFFFFF" w:val="clear"/>
            <w:vAlign w:val="center"/>
          </w:tcPr>
          <w:p>
            <w:pPr>
              <w:pStyle w:val="TableContents"/>
              <w:bidi w:val="0"/>
              <w:spacing w:before="0" w:after="283"/>
              <w:jc w:val="left"/>
              <w:rPr/>
            </w:pPr>
            <w:r>
              <w:rPr/>
              <w:t>Legal Proceedings; Orders</w:t>
            </w:r>
          </w:p>
        </w:tc>
        <w:tc>
          <w:tcPr>
            <w:tcW w:w="276" w:type="dxa"/>
            <w:tcBorders/>
            <w:shd w:fill="FFFFFF" w:val="clear"/>
            <w:vAlign w:val="center"/>
          </w:tcPr>
          <w:p>
            <w:pPr>
              <w:pStyle w:val="TableContents"/>
              <w:bidi w:val="0"/>
              <w:spacing w:before="0" w:after="283"/>
              <w:jc w:val="center"/>
              <w:rPr/>
            </w:pPr>
            <w:r>
              <w:rPr/>
              <w:t>18</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2.15</w:t>
            </w:r>
          </w:p>
        </w:tc>
        <w:tc>
          <w:tcPr>
            <w:tcW w:w="8634" w:type="dxa"/>
            <w:tcBorders/>
            <w:shd w:fill="CCEEFF" w:val="clear"/>
            <w:vAlign w:val="center"/>
          </w:tcPr>
          <w:p>
            <w:pPr>
              <w:pStyle w:val="TableContents"/>
              <w:bidi w:val="0"/>
              <w:spacing w:before="0" w:after="283"/>
              <w:jc w:val="left"/>
              <w:rPr/>
            </w:pPr>
            <w:r>
              <w:rPr/>
              <w:t>Tax Matters</w:t>
            </w:r>
          </w:p>
        </w:tc>
        <w:tc>
          <w:tcPr>
            <w:tcW w:w="276" w:type="dxa"/>
            <w:tcBorders/>
            <w:shd w:fill="CCEEFF" w:val="clear"/>
            <w:vAlign w:val="center"/>
          </w:tcPr>
          <w:p>
            <w:pPr>
              <w:pStyle w:val="TableContents"/>
              <w:bidi w:val="0"/>
              <w:spacing w:before="0" w:after="283"/>
              <w:jc w:val="center"/>
              <w:rPr/>
            </w:pPr>
            <w:r>
              <w:rPr/>
              <w:t>18</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2.16</w:t>
            </w:r>
          </w:p>
        </w:tc>
        <w:tc>
          <w:tcPr>
            <w:tcW w:w="8634" w:type="dxa"/>
            <w:tcBorders/>
            <w:shd w:fill="FFFFFF" w:val="clear"/>
            <w:vAlign w:val="center"/>
          </w:tcPr>
          <w:p>
            <w:pPr>
              <w:pStyle w:val="TableContents"/>
              <w:bidi w:val="0"/>
              <w:spacing w:before="0" w:after="283"/>
              <w:jc w:val="left"/>
              <w:rPr/>
            </w:pPr>
            <w:r>
              <w:rPr/>
              <w:t>Employee and Labor Matters; Benefit Plans</w:t>
            </w:r>
          </w:p>
        </w:tc>
        <w:tc>
          <w:tcPr>
            <w:tcW w:w="276" w:type="dxa"/>
            <w:tcBorders/>
            <w:shd w:fill="FFFFFF" w:val="clear"/>
            <w:vAlign w:val="center"/>
          </w:tcPr>
          <w:p>
            <w:pPr>
              <w:pStyle w:val="TableContents"/>
              <w:bidi w:val="0"/>
              <w:spacing w:before="0" w:after="283"/>
              <w:jc w:val="center"/>
              <w:rPr/>
            </w:pPr>
            <w:r>
              <w:rPr/>
              <w:t>20</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2.17</w:t>
            </w:r>
          </w:p>
        </w:tc>
        <w:tc>
          <w:tcPr>
            <w:tcW w:w="8634" w:type="dxa"/>
            <w:tcBorders/>
            <w:shd w:fill="CCEEFF" w:val="clear"/>
            <w:vAlign w:val="center"/>
          </w:tcPr>
          <w:p>
            <w:pPr>
              <w:pStyle w:val="TableContents"/>
              <w:bidi w:val="0"/>
              <w:spacing w:before="0" w:after="283"/>
              <w:jc w:val="left"/>
              <w:rPr/>
            </w:pPr>
            <w:r>
              <w:rPr/>
              <w:t>Environmental Matters</w:t>
            </w:r>
          </w:p>
        </w:tc>
        <w:tc>
          <w:tcPr>
            <w:tcW w:w="276" w:type="dxa"/>
            <w:tcBorders/>
            <w:shd w:fill="CCEEFF" w:val="clear"/>
            <w:vAlign w:val="center"/>
          </w:tcPr>
          <w:p>
            <w:pPr>
              <w:pStyle w:val="TableContents"/>
              <w:bidi w:val="0"/>
              <w:spacing w:before="0" w:after="283"/>
              <w:jc w:val="center"/>
              <w:rPr/>
            </w:pPr>
            <w:r>
              <w:rPr/>
              <w:t>23</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2.18</w:t>
            </w:r>
          </w:p>
        </w:tc>
        <w:tc>
          <w:tcPr>
            <w:tcW w:w="8634" w:type="dxa"/>
            <w:tcBorders/>
            <w:shd w:fill="FFFFFF" w:val="clear"/>
            <w:vAlign w:val="center"/>
          </w:tcPr>
          <w:p>
            <w:pPr>
              <w:pStyle w:val="TableContents"/>
              <w:bidi w:val="0"/>
              <w:spacing w:before="0" w:after="283"/>
              <w:jc w:val="left"/>
              <w:rPr/>
            </w:pPr>
            <w:r>
              <w:rPr/>
              <w:t>Insurance</w:t>
            </w:r>
          </w:p>
        </w:tc>
        <w:tc>
          <w:tcPr>
            <w:tcW w:w="276" w:type="dxa"/>
            <w:tcBorders/>
            <w:shd w:fill="FFFFFF" w:val="clear"/>
            <w:vAlign w:val="center"/>
          </w:tcPr>
          <w:p>
            <w:pPr>
              <w:pStyle w:val="TableContents"/>
              <w:bidi w:val="0"/>
              <w:spacing w:before="0" w:after="283"/>
              <w:jc w:val="center"/>
              <w:rPr/>
            </w:pPr>
            <w:r>
              <w:rPr/>
              <w:t>24</w:t>
            </w:r>
          </w:p>
        </w:tc>
      </w:tr>
      <w:tr>
        <w:trPr/>
        <w:tc>
          <w:tcPr>
            <w:tcW w:w="18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left"/>
              <w:rPr/>
            </w:pPr>
            <w:r>
              <w:rPr/>
              <w:t>2.19</w:t>
            </w:r>
          </w:p>
        </w:tc>
        <w:tc>
          <w:tcPr>
            <w:tcW w:w="8634" w:type="dxa"/>
            <w:tcBorders/>
            <w:shd w:fill="CCEEFF" w:val="clear"/>
            <w:vAlign w:val="center"/>
          </w:tcPr>
          <w:p>
            <w:pPr>
              <w:pStyle w:val="TableContents"/>
              <w:bidi w:val="0"/>
              <w:spacing w:before="0" w:after="283"/>
              <w:jc w:val="left"/>
              <w:rPr/>
            </w:pPr>
            <w:r>
              <w:rPr/>
              <w:t>No Financial Advisors</w:t>
            </w:r>
          </w:p>
        </w:tc>
        <w:tc>
          <w:tcPr>
            <w:tcW w:w="276" w:type="dxa"/>
            <w:tcBorders/>
            <w:shd w:fill="CCEEFF" w:val="clear"/>
            <w:vAlign w:val="center"/>
          </w:tcPr>
          <w:p>
            <w:pPr>
              <w:pStyle w:val="TableContents"/>
              <w:bidi w:val="0"/>
              <w:spacing w:before="0" w:after="283"/>
              <w:jc w:val="center"/>
              <w:rPr/>
            </w:pPr>
            <w:r>
              <w:rPr/>
              <w:t>24</w:t>
            </w:r>
          </w:p>
        </w:tc>
      </w:tr>
      <w:tr>
        <w:trPr/>
        <w:tc>
          <w:tcPr>
            <w:tcW w:w="18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2.20</w:t>
            </w:r>
          </w:p>
        </w:tc>
        <w:tc>
          <w:tcPr>
            <w:tcW w:w="8634" w:type="dxa"/>
            <w:tcBorders/>
            <w:shd w:fill="FFFFFF" w:val="clear"/>
            <w:vAlign w:val="center"/>
          </w:tcPr>
          <w:p>
            <w:pPr>
              <w:pStyle w:val="TableContents"/>
              <w:bidi w:val="0"/>
              <w:spacing w:before="0" w:after="283"/>
              <w:jc w:val="left"/>
              <w:rPr/>
            </w:pPr>
            <w:r>
              <w:rPr/>
              <w:t>Transactions with Affiliates</w:t>
            </w:r>
          </w:p>
        </w:tc>
        <w:tc>
          <w:tcPr>
            <w:tcW w:w="276" w:type="dxa"/>
            <w:tcBorders/>
            <w:shd w:fill="FFFFFF" w:val="clear"/>
            <w:vAlign w:val="center"/>
          </w:tcPr>
          <w:p>
            <w:pPr>
              <w:pStyle w:val="TableContents"/>
              <w:bidi w:val="0"/>
              <w:spacing w:before="0" w:after="283"/>
              <w:jc w:val="center"/>
              <w:rPr/>
            </w:pPr>
            <w:r>
              <w:rPr/>
              <w:t>24</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764" w:type="dxa"/>
        <w:jc w:val="left"/>
        <w:tblInd w:w="0" w:type="dxa"/>
        <w:tblLayout w:type="fixed"/>
        <w:tblCellMar>
          <w:top w:w="0" w:type="dxa"/>
          <w:left w:w="0" w:type="dxa"/>
          <w:bottom w:w="0" w:type="dxa"/>
          <w:right w:w="0" w:type="dxa"/>
        </w:tblCellMar>
      </w:tblPr>
      <w:tblGrid>
        <w:gridCol w:w="189"/>
        <w:gridCol w:w="1120"/>
        <w:gridCol w:w="8180"/>
        <w:gridCol w:w="275"/>
      </w:tblGrid>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2.21</w:t>
            </w:r>
          </w:p>
        </w:tc>
        <w:tc>
          <w:tcPr>
            <w:tcW w:w="8180" w:type="dxa"/>
            <w:tcBorders/>
            <w:shd w:fill="CCEEFF" w:val="clear"/>
            <w:vAlign w:val="center"/>
          </w:tcPr>
          <w:p>
            <w:pPr>
              <w:pStyle w:val="TableContents"/>
              <w:bidi w:val="0"/>
              <w:spacing w:before="0" w:after="283"/>
              <w:jc w:val="left"/>
              <w:rPr/>
            </w:pPr>
            <w:r>
              <w:rPr/>
              <w:t>Anti-Bribery</w:t>
            </w:r>
          </w:p>
        </w:tc>
        <w:tc>
          <w:tcPr>
            <w:tcW w:w="275" w:type="dxa"/>
            <w:tcBorders/>
            <w:shd w:fill="CCEEFF" w:val="clear"/>
            <w:vAlign w:val="center"/>
          </w:tcPr>
          <w:p>
            <w:pPr>
              <w:pStyle w:val="TableContents"/>
              <w:bidi w:val="0"/>
              <w:spacing w:before="0" w:after="283"/>
              <w:jc w:val="center"/>
              <w:rPr/>
            </w:pPr>
            <w:r>
              <w:rPr/>
              <w:t>25</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2.22</w:t>
            </w:r>
          </w:p>
        </w:tc>
        <w:tc>
          <w:tcPr>
            <w:tcW w:w="8180" w:type="dxa"/>
            <w:tcBorders/>
            <w:shd w:fill="FFFFFF" w:val="clear"/>
            <w:vAlign w:val="center"/>
          </w:tcPr>
          <w:p>
            <w:pPr>
              <w:pStyle w:val="TableContents"/>
              <w:bidi w:val="0"/>
              <w:spacing w:before="0" w:after="283"/>
              <w:jc w:val="left"/>
              <w:rPr/>
            </w:pPr>
            <w:r>
              <w:rPr/>
              <w:t>DPA Representation</w:t>
            </w:r>
          </w:p>
        </w:tc>
        <w:tc>
          <w:tcPr>
            <w:tcW w:w="275" w:type="dxa"/>
            <w:tcBorders/>
            <w:shd w:fill="FFFFFF" w:val="clear"/>
            <w:vAlign w:val="center"/>
          </w:tcPr>
          <w:p>
            <w:pPr>
              <w:pStyle w:val="TableContents"/>
              <w:bidi w:val="0"/>
              <w:spacing w:before="0" w:after="283"/>
              <w:jc w:val="center"/>
              <w:rPr/>
            </w:pPr>
            <w:r>
              <w:rPr/>
              <w:t>25</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2.23</w:t>
            </w:r>
          </w:p>
        </w:tc>
        <w:tc>
          <w:tcPr>
            <w:tcW w:w="8180" w:type="dxa"/>
            <w:tcBorders/>
            <w:shd w:fill="CCEEFF" w:val="clear"/>
            <w:vAlign w:val="center"/>
          </w:tcPr>
          <w:p>
            <w:pPr>
              <w:pStyle w:val="TableContents"/>
              <w:bidi w:val="0"/>
              <w:spacing w:before="0" w:after="283"/>
              <w:jc w:val="left"/>
              <w:rPr/>
            </w:pPr>
            <w:r>
              <w:rPr/>
              <w:t>Disclaimer of Other Representations or Warranties</w:t>
            </w:r>
          </w:p>
        </w:tc>
        <w:tc>
          <w:tcPr>
            <w:tcW w:w="275" w:type="dxa"/>
            <w:tcBorders/>
            <w:shd w:fill="CCEEFF" w:val="clear"/>
            <w:vAlign w:val="center"/>
          </w:tcPr>
          <w:p>
            <w:pPr>
              <w:pStyle w:val="TableContents"/>
              <w:bidi w:val="0"/>
              <w:spacing w:before="0" w:after="283"/>
              <w:jc w:val="center"/>
              <w:rPr/>
            </w:pPr>
            <w:r>
              <w:rPr/>
              <w:t>25</w:t>
            </w:r>
          </w:p>
        </w:tc>
      </w:tr>
      <w:tr>
        <w:trPr/>
        <w:tc>
          <w:tcPr>
            <w:tcW w:w="1309" w:type="dxa"/>
            <w:gridSpan w:val="2"/>
            <w:tcBorders/>
            <w:shd w:fill="FFFFFF" w:val="clear"/>
            <w:vAlign w:val="center"/>
          </w:tcPr>
          <w:p>
            <w:pPr>
              <w:pStyle w:val="TableContents"/>
              <w:bidi w:val="0"/>
              <w:spacing w:before="0" w:after="283"/>
              <w:jc w:val="left"/>
              <w:rPr/>
            </w:pPr>
            <w:r>
              <w:rPr/>
              <w:t>SECTION 3.</w:t>
            </w:r>
          </w:p>
        </w:tc>
        <w:tc>
          <w:tcPr>
            <w:tcW w:w="8180" w:type="dxa"/>
            <w:tcBorders/>
            <w:shd w:fill="FFFFFF" w:val="clear"/>
            <w:vAlign w:val="center"/>
          </w:tcPr>
          <w:p>
            <w:pPr>
              <w:pStyle w:val="TableContents"/>
              <w:bidi w:val="0"/>
              <w:spacing w:before="0" w:after="283"/>
              <w:jc w:val="left"/>
              <w:rPr/>
            </w:pPr>
            <w:r>
              <w:rPr/>
              <w:t>REPRESENTATIONS AND WARRANTIES OF THE SELLERS</w:t>
            </w:r>
          </w:p>
        </w:tc>
        <w:tc>
          <w:tcPr>
            <w:tcW w:w="275" w:type="dxa"/>
            <w:tcBorders/>
            <w:shd w:fill="FFFFFF" w:val="clear"/>
            <w:vAlign w:val="center"/>
          </w:tcPr>
          <w:p>
            <w:pPr>
              <w:pStyle w:val="TableContents"/>
              <w:bidi w:val="0"/>
              <w:spacing w:before="0" w:after="283"/>
              <w:jc w:val="center"/>
              <w:rPr/>
            </w:pPr>
            <w:r>
              <w:rPr/>
              <w:t>25</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3.1</w:t>
            </w:r>
          </w:p>
        </w:tc>
        <w:tc>
          <w:tcPr>
            <w:tcW w:w="8180" w:type="dxa"/>
            <w:tcBorders/>
            <w:shd w:fill="CCEEFF" w:val="clear"/>
            <w:vAlign w:val="center"/>
          </w:tcPr>
          <w:p>
            <w:pPr>
              <w:pStyle w:val="TableContents"/>
              <w:bidi w:val="0"/>
              <w:spacing w:before="0" w:after="283"/>
              <w:jc w:val="left"/>
              <w:rPr/>
            </w:pPr>
            <w:r>
              <w:rPr/>
              <w:t>Ownership of Shares</w:t>
            </w:r>
          </w:p>
        </w:tc>
        <w:tc>
          <w:tcPr>
            <w:tcW w:w="275" w:type="dxa"/>
            <w:tcBorders/>
            <w:shd w:fill="CCEEFF" w:val="clear"/>
            <w:vAlign w:val="center"/>
          </w:tcPr>
          <w:p>
            <w:pPr>
              <w:pStyle w:val="TableContents"/>
              <w:bidi w:val="0"/>
              <w:spacing w:before="0" w:after="283"/>
              <w:jc w:val="center"/>
              <w:rPr/>
            </w:pPr>
            <w:r>
              <w:rPr/>
              <w:t>25</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3.2</w:t>
            </w:r>
          </w:p>
        </w:tc>
        <w:tc>
          <w:tcPr>
            <w:tcW w:w="8180" w:type="dxa"/>
            <w:tcBorders/>
            <w:shd w:fill="FFFFFF" w:val="clear"/>
            <w:vAlign w:val="center"/>
          </w:tcPr>
          <w:p>
            <w:pPr>
              <w:pStyle w:val="TableContents"/>
              <w:bidi w:val="0"/>
              <w:spacing w:before="0" w:after="283"/>
              <w:jc w:val="left"/>
              <w:rPr/>
            </w:pPr>
            <w:r>
              <w:rPr/>
              <w:t>Capacity and Authority</w:t>
            </w:r>
          </w:p>
        </w:tc>
        <w:tc>
          <w:tcPr>
            <w:tcW w:w="275" w:type="dxa"/>
            <w:tcBorders/>
            <w:shd w:fill="FFFFFF" w:val="clear"/>
            <w:vAlign w:val="center"/>
          </w:tcPr>
          <w:p>
            <w:pPr>
              <w:pStyle w:val="TableContents"/>
              <w:bidi w:val="0"/>
              <w:spacing w:before="0" w:after="283"/>
              <w:jc w:val="center"/>
              <w:rPr/>
            </w:pPr>
            <w:r>
              <w:rPr/>
              <w:t>26</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3.3</w:t>
            </w:r>
          </w:p>
        </w:tc>
        <w:tc>
          <w:tcPr>
            <w:tcW w:w="8180" w:type="dxa"/>
            <w:tcBorders/>
            <w:shd w:fill="CCEEFF" w:val="clear"/>
            <w:vAlign w:val="center"/>
          </w:tcPr>
          <w:p>
            <w:pPr>
              <w:pStyle w:val="TableContents"/>
              <w:bidi w:val="0"/>
              <w:spacing w:before="0" w:after="283"/>
              <w:jc w:val="left"/>
              <w:rPr/>
            </w:pPr>
            <w:r>
              <w:rPr/>
              <w:t>No Conflict</w:t>
            </w:r>
          </w:p>
        </w:tc>
        <w:tc>
          <w:tcPr>
            <w:tcW w:w="275" w:type="dxa"/>
            <w:tcBorders/>
            <w:shd w:fill="CCEEFF" w:val="clear"/>
            <w:vAlign w:val="center"/>
          </w:tcPr>
          <w:p>
            <w:pPr>
              <w:pStyle w:val="TableContents"/>
              <w:bidi w:val="0"/>
              <w:spacing w:before="0" w:after="283"/>
              <w:jc w:val="center"/>
              <w:rPr/>
            </w:pPr>
            <w:r>
              <w:rPr/>
              <w:t>26</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3.4</w:t>
            </w:r>
          </w:p>
        </w:tc>
        <w:tc>
          <w:tcPr>
            <w:tcW w:w="8180" w:type="dxa"/>
            <w:tcBorders/>
            <w:shd w:fill="FFFFFF" w:val="clear"/>
            <w:vAlign w:val="center"/>
          </w:tcPr>
          <w:p>
            <w:pPr>
              <w:pStyle w:val="TableContents"/>
              <w:bidi w:val="0"/>
              <w:spacing w:before="0" w:after="283"/>
              <w:jc w:val="left"/>
              <w:rPr/>
            </w:pPr>
            <w:r>
              <w:rPr/>
              <w:t>Accredited Investor Status; Investment Sophistication</w:t>
            </w:r>
          </w:p>
        </w:tc>
        <w:tc>
          <w:tcPr>
            <w:tcW w:w="275" w:type="dxa"/>
            <w:tcBorders/>
            <w:shd w:fill="FFFFFF" w:val="clear"/>
            <w:vAlign w:val="center"/>
          </w:tcPr>
          <w:p>
            <w:pPr>
              <w:pStyle w:val="TableContents"/>
              <w:bidi w:val="0"/>
              <w:spacing w:before="0" w:after="283"/>
              <w:jc w:val="center"/>
              <w:rPr/>
            </w:pPr>
            <w:r>
              <w:rPr/>
              <w:t>26</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3.5</w:t>
            </w:r>
          </w:p>
        </w:tc>
        <w:tc>
          <w:tcPr>
            <w:tcW w:w="8180" w:type="dxa"/>
            <w:tcBorders/>
            <w:shd w:fill="CCEEFF" w:val="clear"/>
            <w:vAlign w:val="center"/>
          </w:tcPr>
          <w:p>
            <w:pPr>
              <w:pStyle w:val="TableContents"/>
              <w:bidi w:val="0"/>
              <w:spacing w:before="0" w:after="283"/>
              <w:jc w:val="left"/>
              <w:rPr/>
            </w:pPr>
            <w:r>
              <w:rPr/>
              <w:t>Investment Intent; No Distribution</w:t>
            </w:r>
          </w:p>
        </w:tc>
        <w:tc>
          <w:tcPr>
            <w:tcW w:w="275" w:type="dxa"/>
            <w:tcBorders/>
            <w:shd w:fill="CCEEFF" w:val="clear"/>
            <w:vAlign w:val="center"/>
          </w:tcPr>
          <w:p>
            <w:pPr>
              <w:pStyle w:val="TableContents"/>
              <w:bidi w:val="0"/>
              <w:spacing w:before="0" w:after="283"/>
              <w:jc w:val="center"/>
              <w:rPr/>
            </w:pPr>
            <w:r>
              <w:rPr/>
              <w:t>26</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3.6</w:t>
            </w:r>
          </w:p>
        </w:tc>
        <w:tc>
          <w:tcPr>
            <w:tcW w:w="8180" w:type="dxa"/>
            <w:tcBorders/>
            <w:shd w:fill="FFFFFF" w:val="clear"/>
            <w:vAlign w:val="center"/>
          </w:tcPr>
          <w:p>
            <w:pPr>
              <w:pStyle w:val="TableContents"/>
              <w:bidi w:val="0"/>
              <w:spacing w:before="0" w:after="283"/>
              <w:jc w:val="left"/>
              <w:rPr/>
            </w:pPr>
            <w:r>
              <w:rPr/>
              <w:t>Restricted Securities</w:t>
            </w:r>
          </w:p>
        </w:tc>
        <w:tc>
          <w:tcPr>
            <w:tcW w:w="275" w:type="dxa"/>
            <w:tcBorders/>
            <w:shd w:fill="FFFFFF" w:val="clear"/>
            <w:vAlign w:val="center"/>
          </w:tcPr>
          <w:p>
            <w:pPr>
              <w:pStyle w:val="TableContents"/>
              <w:bidi w:val="0"/>
              <w:spacing w:before="0" w:after="283"/>
              <w:jc w:val="center"/>
              <w:rPr/>
            </w:pPr>
            <w:r>
              <w:rPr/>
              <w:t>27</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3.7</w:t>
            </w:r>
          </w:p>
        </w:tc>
        <w:tc>
          <w:tcPr>
            <w:tcW w:w="8180" w:type="dxa"/>
            <w:tcBorders/>
            <w:shd w:fill="CCEEFF" w:val="clear"/>
            <w:vAlign w:val="center"/>
          </w:tcPr>
          <w:p>
            <w:pPr>
              <w:pStyle w:val="TableContents"/>
              <w:bidi w:val="0"/>
              <w:spacing w:before="0" w:after="283"/>
              <w:jc w:val="left"/>
              <w:rPr/>
            </w:pPr>
            <w:r>
              <w:rPr/>
              <w:t>No General Solicitation</w:t>
            </w:r>
          </w:p>
        </w:tc>
        <w:tc>
          <w:tcPr>
            <w:tcW w:w="275" w:type="dxa"/>
            <w:tcBorders/>
            <w:shd w:fill="CCEEFF" w:val="clear"/>
            <w:vAlign w:val="center"/>
          </w:tcPr>
          <w:p>
            <w:pPr>
              <w:pStyle w:val="TableContents"/>
              <w:bidi w:val="0"/>
              <w:spacing w:before="0" w:after="283"/>
              <w:jc w:val="center"/>
              <w:rPr/>
            </w:pPr>
            <w:r>
              <w:rPr/>
              <w:t>27</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3.8</w:t>
            </w:r>
          </w:p>
        </w:tc>
        <w:tc>
          <w:tcPr>
            <w:tcW w:w="8180" w:type="dxa"/>
            <w:tcBorders/>
            <w:shd w:fill="FFFFFF" w:val="clear"/>
            <w:vAlign w:val="center"/>
          </w:tcPr>
          <w:p>
            <w:pPr>
              <w:pStyle w:val="TableContents"/>
              <w:bidi w:val="0"/>
              <w:spacing w:before="0" w:after="283"/>
              <w:jc w:val="left"/>
              <w:rPr/>
            </w:pPr>
            <w:r>
              <w:rPr/>
              <w:t>No Disqualifying Events</w:t>
            </w:r>
          </w:p>
        </w:tc>
        <w:tc>
          <w:tcPr>
            <w:tcW w:w="275" w:type="dxa"/>
            <w:tcBorders/>
            <w:shd w:fill="FFFFFF" w:val="clear"/>
            <w:vAlign w:val="center"/>
          </w:tcPr>
          <w:p>
            <w:pPr>
              <w:pStyle w:val="TableContents"/>
              <w:bidi w:val="0"/>
              <w:spacing w:before="0" w:after="283"/>
              <w:jc w:val="center"/>
              <w:rPr/>
            </w:pPr>
            <w:r>
              <w:rPr/>
              <w:t>27</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3.9</w:t>
            </w:r>
          </w:p>
        </w:tc>
        <w:tc>
          <w:tcPr>
            <w:tcW w:w="8180" w:type="dxa"/>
            <w:tcBorders/>
            <w:shd w:fill="CCEEFF" w:val="clear"/>
            <w:vAlign w:val="center"/>
          </w:tcPr>
          <w:p>
            <w:pPr>
              <w:pStyle w:val="TableContents"/>
              <w:bidi w:val="0"/>
              <w:spacing w:before="0" w:after="283"/>
              <w:jc w:val="left"/>
              <w:rPr/>
            </w:pPr>
            <w:r>
              <w:rPr/>
              <w:t>No Financial Advisors</w:t>
            </w:r>
          </w:p>
        </w:tc>
        <w:tc>
          <w:tcPr>
            <w:tcW w:w="275" w:type="dxa"/>
            <w:tcBorders/>
            <w:shd w:fill="CCEEFF" w:val="clear"/>
            <w:vAlign w:val="center"/>
          </w:tcPr>
          <w:p>
            <w:pPr>
              <w:pStyle w:val="TableContents"/>
              <w:bidi w:val="0"/>
              <w:spacing w:before="0" w:after="283"/>
              <w:jc w:val="center"/>
              <w:rPr/>
            </w:pPr>
            <w:r>
              <w:rPr/>
              <w:t>27</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3.10</w:t>
            </w:r>
          </w:p>
        </w:tc>
        <w:tc>
          <w:tcPr>
            <w:tcW w:w="8180" w:type="dxa"/>
            <w:tcBorders/>
            <w:shd w:fill="FFFFFF" w:val="clear"/>
            <w:vAlign w:val="center"/>
          </w:tcPr>
          <w:p>
            <w:pPr>
              <w:pStyle w:val="TableContents"/>
              <w:bidi w:val="0"/>
              <w:spacing w:before="0" w:after="283"/>
              <w:jc w:val="left"/>
              <w:rPr/>
            </w:pPr>
            <w:r>
              <w:rPr/>
              <w:t>Disclaimer of Other Representations or Warranties</w:t>
            </w:r>
          </w:p>
        </w:tc>
        <w:tc>
          <w:tcPr>
            <w:tcW w:w="275" w:type="dxa"/>
            <w:tcBorders/>
            <w:shd w:fill="FFFFFF" w:val="clear"/>
            <w:vAlign w:val="center"/>
          </w:tcPr>
          <w:p>
            <w:pPr>
              <w:pStyle w:val="TableContents"/>
              <w:bidi w:val="0"/>
              <w:spacing w:before="0" w:after="283"/>
              <w:jc w:val="center"/>
              <w:rPr/>
            </w:pPr>
            <w:r>
              <w:rPr/>
              <w:t>27</w:t>
            </w:r>
          </w:p>
        </w:tc>
      </w:tr>
      <w:tr>
        <w:trPr/>
        <w:tc>
          <w:tcPr>
            <w:tcW w:w="1309" w:type="dxa"/>
            <w:gridSpan w:val="2"/>
            <w:tcBorders/>
            <w:shd w:fill="CCEEFF" w:val="clear"/>
            <w:vAlign w:val="center"/>
          </w:tcPr>
          <w:p>
            <w:pPr>
              <w:pStyle w:val="TableContents"/>
              <w:bidi w:val="0"/>
              <w:spacing w:before="0" w:after="283"/>
              <w:jc w:val="left"/>
              <w:rPr/>
            </w:pPr>
            <w:r>
              <w:rPr/>
              <w:t>SECTION 4.</w:t>
            </w:r>
          </w:p>
        </w:tc>
        <w:tc>
          <w:tcPr>
            <w:tcW w:w="8180" w:type="dxa"/>
            <w:tcBorders/>
            <w:shd w:fill="CCEEFF" w:val="clear"/>
            <w:vAlign w:val="center"/>
          </w:tcPr>
          <w:p>
            <w:pPr>
              <w:pStyle w:val="TableContents"/>
              <w:bidi w:val="0"/>
              <w:spacing w:before="0" w:after="283"/>
              <w:jc w:val="left"/>
              <w:rPr/>
            </w:pPr>
            <w:r>
              <w:rPr/>
              <w:t>REPRESENTATIONS AND WARRANTIES OF PARENT AND MERGER SUB</w:t>
            </w:r>
          </w:p>
        </w:tc>
        <w:tc>
          <w:tcPr>
            <w:tcW w:w="275" w:type="dxa"/>
            <w:tcBorders/>
            <w:shd w:fill="CCEEFF" w:val="clear"/>
            <w:vAlign w:val="center"/>
          </w:tcPr>
          <w:p>
            <w:pPr>
              <w:pStyle w:val="TableContents"/>
              <w:bidi w:val="0"/>
              <w:spacing w:before="0" w:after="283"/>
              <w:jc w:val="center"/>
              <w:rPr/>
            </w:pPr>
            <w:r>
              <w:rPr/>
              <w:t>28</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4.1</w:t>
            </w:r>
          </w:p>
        </w:tc>
        <w:tc>
          <w:tcPr>
            <w:tcW w:w="8180" w:type="dxa"/>
            <w:tcBorders/>
            <w:shd w:fill="FFFFFF" w:val="clear"/>
            <w:vAlign w:val="center"/>
          </w:tcPr>
          <w:p>
            <w:pPr>
              <w:pStyle w:val="TableContents"/>
              <w:bidi w:val="0"/>
              <w:spacing w:before="0" w:after="283"/>
              <w:jc w:val="left"/>
              <w:rPr/>
            </w:pPr>
            <w:r>
              <w:rPr/>
              <w:t>Due Organization; Subsidiaries</w:t>
            </w:r>
          </w:p>
        </w:tc>
        <w:tc>
          <w:tcPr>
            <w:tcW w:w="275" w:type="dxa"/>
            <w:tcBorders/>
            <w:shd w:fill="FFFFFF" w:val="clear"/>
            <w:vAlign w:val="center"/>
          </w:tcPr>
          <w:p>
            <w:pPr>
              <w:pStyle w:val="TableContents"/>
              <w:bidi w:val="0"/>
              <w:spacing w:before="0" w:after="283"/>
              <w:jc w:val="center"/>
              <w:rPr/>
            </w:pPr>
            <w:r>
              <w:rPr/>
              <w:t>28</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4.2</w:t>
            </w:r>
          </w:p>
        </w:tc>
        <w:tc>
          <w:tcPr>
            <w:tcW w:w="8180" w:type="dxa"/>
            <w:tcBorders/>
            <w:shd w:fill="CCEEFF" w:val="clear"/>
            <w:vAlign w:val="center"/>
          </w:tcPr>
          <w:p>
            <w:pPr>
              <w:pStyle w:val="TableContents"/>
              <w:bidi w:val="0"/>
              <w:spacing w:before="0" w:after="283"/>
              <w:jc w:val="left"/>
              <w:rPr/>
            </w:pPr>
            <w:r>
              <w:rPr/>
              <w:t>Organizational Documents</w:t>
            </w:r>
          </w:p>
        </w:tc>
        <w:tc>
          <w:tcPr>
            <w:tcW w:w="275" w:type="dxa"/>
            <w:tcBorders/>
            <w:shd w:fill="CCEEFF" w:val="clear"/>
            <w:vAlign w:val="center"/>
          </w:tcPr>
          <w:p>
            <w:pPr>
              <w:pStyle w:val="TableContents"/>
              <w:bidi w:val="0"/>
              <w:spacing w:before="0" w:after="283"/>
              <w:jc w:val="center"/>
              <w:rPr/>
            </w:pPr>
            <w:r>
              <w:rPr/>
              <w:t>29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4.3</w:t>
            </w:r>
          </w:p>
        </w:tc>
        <w:tc>
          <w:tcPr>
            <w:tcW w:w="8180" w:type="dxa"/>
            <w:tcBorders/>
            <w:shd w:fill="FFFFFF" w:val="clear"/>
            <w:vAlign w:val="center"/>
          </w:tcPr>
          <w:p>
            <w:pPr>
              <w:pStyle w:val="TableContents"/>
              <w:bidi w:val="0"/>
              <w:spacing w:before="0" w:after="283"/>
              <w:jc w:val="left"/>
              <w:rPr/>
            </w:pPr>
            <w:r>
              <w:rPr/>
              <w:t>Authority; Binding Nature of Agreement</w:t>
            </w:r>
          </w:p>
        </w:tc>
        <w:tc>
          <w:tcPr>
            <w:tcW w:w="275" w:type="dxa"/>
            <w:tcBorders/>
            <w:shd w:fill="FFFFFF" w:val="clear"/>
            <w:vAlign w:val="center"/>
          </w:tcPr>
          <w:p>
            <w:pPr>
              <w:pStyle w:val="TableContents"/>
              <w:bidi w:val="0"/>
              <w:spacing w:before="0" w:after="283"/>
              <w:jc w:val="center"/>
              <w:rPr/>
            </w:pPr>
            <w:r>
              <w:rPr/>
              <w:t>29</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4.4</w:t>
            </w:r>
          </w:p>
        </w:tc>
        <w:tc>
          <w:tcPr>
            <w:tcW w:w="8180" w:type="dxa"/>
            <w:tcBorders/>
            <w:shd w:fill="CCEEFF" w:val="clear"/>
            <w:vAlign w:val="center"/>
          </w:tcPr>
          <w:p>
            <w:pPr>
              <w:pStyle w:val="TableContents"/>
              <w:bidi w:val="0"/>
              <w:spacing w:before="0" w:after="283"/>
              <w:jc w:val="left"/>
              <w:rPr/>
            </w:pPr>
            <w:r>
              <w:rPr/>
              <w:t>Vote Required</w:t>
            </w:r>
          </w:p>
        </w:tc>
        <w:tc>
          <w:tcPr>
            <w:tcW w:w="275" w:type="dxa"/>
            <w:tcBorders/>
            <w:shd w:fill="CCEEFF" w:val="clear"/>
            <w:vAlign w:val="center"/>
          </w:tcPr>
          <w:p>
            <w:pPr>
              <w:pStyle w:val="TableContents"/>
              <w:bidi w:val="0"/>
              <w:spacing w:before="0" w:after="283"/>
              <w:jc w:val="center"/>
              <w:rPr/>
            </w:pPr>
            <w:r>
              <w:rPr/>
              <w:t>29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4.5</w:t>
            </w:r>
          </w:p>
        </w:tc>
        <w:tc>
          <w:tcPr>
            <w:tcW w:w="8180" w:type="dxa"/>
            <w:tcBorders/>
            <w:shd w:fill="FFFFFF" w:val="clear"/>
            <w:vAlign w:val="center"/>
          </w:tcPr>
          <w:p>
            <w:pPr>
              <w:pStyle w:val="TableContents"/>
              <w:bidi w:val="0"/>
              <w:spacing w:before="0" w:after="283"/>
              <w:jc w:val="left"/>
              <w:rPr/>
            </w:pPr>
            <w:r>
              <w:rPr/>
              <w:t>Non-Contravention; Consents</w:t>
            </w:r>
          </w:p>
        </w:tc>
        <w:tc>
          <w:tcPr>
            <w:tcW w:w="275" w:type="dxa"/>
            <w:tcBorders/>
            <w:shd w:fill="FFFFFF" w:val="clear"/>
            <w:vAlign w:val="center"/>
          </w:tcPr>
          <w:p>
            <w:pPr>
              <w:pStyle w:val="TableContents"/>
              <w:bidi w:val="0"/>
              <w:spacing w:before="0" w:after="283"/>
              <w:jc w:val="center"/>
              <w:rPr/>
            </w:pPr>
            <w:r>
              <w:rPr/>
              <w:t>30</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4.6</w:t>
            </w:r>
          </w:p>
        </w:tc>
        <w:tc>
          <w:tcPr>
            <w:tcW w:w="8180" w:type="dxa"/>
            <w:tcBorders/>
            <w:shd w:fill="CCEEFF" w:val="clear"/>
            <w:vAlign w:val="center"/>
          </w:tcPr>
          <w:p>
            <w:pPr>
              <w:pStyle w:val="TableContents"/>
              <w:bidi w:val="0"/>
              <w:spacing w:before="0" w:after="283"/>
              <w:jc w:val="left"/>
              <w:rPr/>
            </w:pPr>
            <w:r>
              <w:rPr/>
              <w:t>Capitalization</w:t>
            </w:r>
          </w:p>
        </w:tc>
        <w:tc>
          <w:tcPr>
            <w:tcW w:w="275" w:type="dxa"/>
            <w:tcBorders/>
            <w:shd w:fill="CCEEFF" w:val="clear"/>
            <w:vAlign w:val="center"/>
          </w:tcPr>
          <w:p>
            <w:pPr>
              <w:pStyle w:val="TableContents"/>
              <w:bidi w:val="0"/>
              <w:spacing w:before="0" w:after="283"/>
              <w:jc w:val="center"/>
              <w:rPr/>
            </w:pPr>
            <w:r>
              <w:rPr/>
              <w:t>31</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4.7</w:t>
            </w:r>
          </w:p>
        </w:tc>
        <w:tc>
          <w:tcPr>
            <w:tcW w:w="8180" w:type="dxa"/>
            <w:tcBorders/>
            <w:shd w:fill="FFFFFF" w:val="clear"/>
            <w:vAlign w:val="center"/>
          </w:tcPr>
          <w:p>
            <w:pPr>
              <w:pStyle w:val="TableContents"/>
              <w:bidi w:val="0"/>
              <w:spacing w:before="0" w:after="283"/>
              <w:jc w:val="left"/>
              <w:rPr/>
            </w:pPr>
            <w:r>
              <w:rPr/>
              <w:t>SEC Filings; Financial Statements</w:t>
            </w:r>
          </w:p>
        </w:tc>
        <w:tc>
          <w:tcPr>
            <w:tcW w:w="275" w:type="dxa"/>
            <w:tcBorders/>
            <w:shd w:fill="FFFFFF" w:val="clear"/>
            <w:vAlign w:val="center"/>
          </w:tcPr>
          <w:p>
            <w:pPr>
              <w:pStyle w:val="TableContents"/>
              <w:bidi w:val="0"/>
              <w:spacing w:before="0" w:after="283"/>
              <w:jc w:val="center"/>
              <w:rPr/>
            </w:pPr>
            <w:r>
              <w:rPr/>
              <w:t>33</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4.8</w:t>
            </w:r>
          </w:p>
        </w:tc>
        <w:tc>
          <w:tcPr>
            <w:tcW w:w="8180" w:type="dxa"/>
            <w:tcBorders/>
            <w:shd w:fill="CCEEFF" w:val="clear"/>
            <w:vAlign w:val="center"/>
          </w:tcPr>
          <w:p>
            <w:pPr>
              <w:pStyle w:val="TableContents"/>
              <w:bidi w:val="0"/>
              <w:spacing w:before="0" w:after="283"/>
              <w:jc w:val="left"/>
              <w:rPr/>
            </w:pPr>
            <w:r>
              <w:rPr/>
              <w:t>Absence of Changes</w:t>
            </w:r>
          </w:p>
        </w:tc>
        <w:tc>
          <w:tcPr>
            <w:tcW w:w="275" w:type="dxa"/>
            <w:tcBorders/>
            <w:shd w:fill="CCEEFF" w:val="clear"/>
            <w:vAlign w:val="center"/>
          </w:tcPr>
          <w:p>
            <w:pPr>
              <w:pStyle w:val="TableContents"/>
              <w:bidi w:val="0"/>
              <w:spacing w:before="0" w:after="283"/>
              <w:jc w:val="center"/>
              <w:rPr/>
            </w:pPr>
            <w:r>
              <w:rPr/>
              <w:t>36</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4.9</w:t>
            </w:r>
          </w:p>
        </w:tc>
        <w:tc>
          <w:tcPr>
            <w:tcW w:w="8180" w:type="dxa"/>
            <w:tcBorders/>
            <w:shd w:fill="FFFFFF" w:val="clear"/>
            <w:vAlign w:val="center"/>
          </w:tcPr>
          <w:p>
            <w:pPr>
              <w:pStyle w:val="TableContents"/>
              <w:bidi w:val="0"/>
              <w:spacing w:before="0" w:after="283"/>
              <w:jc w:val="left"/>
              <w:rPr/>
            </w:pPr>
            <w:r>
              <w:rPr/>
              <w:t>Absence of Undisclosed Liabilities</w:t>
            </w:r>
          </w:p>
        </w:tc>
        <w:tc>
          <w:tcPr>
            <w:tcW w:w="275" w:type="dxa"/>
            <w:tcBorders/>
            <w:shd w:fill="FFFFFF" w:val="clear"/>
            <w:vAlign w:val="center"/>
          </w:tcPr>
          <w:p>
            <w:pPr>
              <w:pStyle w:val="TableContents"/>
              <w:bidi w:val="0"/>
              <w:spacing w:before="0" w:after="283"/>
              <w:jc w:val="center"/>
              <w:rPr/>
            </w:pPr>
            <w:r>
              <w:rPr/>
              <w:t>36</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4.10</w:t>
            </w:r>
          </w:p>
        </w:tc>
        <w:tc>
          <w:tcPr>
            <w:tcW w:w="8180" w:type="dxa"/>
            <w:tcBorders/>
            <w:shd w:fill="CCEEFF" w:val="clear"/>
            <w:vAlign w:val="center"/>
          </w:tcPr>
          <w:p>
            <w:pPr>
              <w:pStyle w:val="TableContents"/>
              <w:bidi w:val="0"/>
              <w:spacing w:before="0" w:after="283"/>
              <w:jc w:val="left"/>
              <w:rPr/>
            </w:pPr>
            <w:r>
              <w:rPr/>
              <w:t>Title to Assets</w:t>
            </w:r>
          </w:p>
        </w:tc>
        <w:tc>
          <w:tcPr>
            <w:tcW w:w="275" w:type="dxa"/>
            <w:tcBorders/>
            <w:shd w:fill="CCEEFF" w:val="clear"/>
            <w:vAlign w:val="center"/>
          </w:tcPr>
          <w:p>
            <w:pPr>
              <w:pStyle w:val="TableContents"/>
              <w:bidi w:val="0"/>
              <w:spacing w:before="0" w:after="283"/>
              <w:jc w:val="center"/>
              <w:rPr/>
            </w:pPr>
            <w:r>
              <w:rPr/>
              <w:t>36</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4.11</w:t>
            </w:r>
          </w:p>
        </w:tc>
        <w:tc>
          <w:tcPr>
            <w:tcW w:w="8180" w:type="dxa"/>
            <w:tcBorders/>
            <w:shd w:fill="FFFFFF" w:val="clear"/>
            <w:vAlign w:val="center"/>
          </w:tcPr>
          <w:p>
            <w:pPr>
              <w:pStyle w:val="TableContents"/>
              <w:bidi w:val="0"/>
              <w:spacing w:before="0" w:after="283"/>
              <w:jc w:val="left"/>
              <w:rPr/>
            </w:pPr>
            <w:r>
              <w:rPr/>
              <w:t>Real Property; Leasehold</w:t>
            </w:r>
          </w:p>
        </w:tc>
        <w:tc>
          <w:tcPr>
            <w:tcW w:w="275" w:type="dxa"/>
            <w:tcBorders/>
            <w:shd w:fill="FFFFFF" w:val="clear"/>
            <w:vAlign w:val="center"/>
          </w:tcPr>
          <w:p>
            <w:pPr>
              <w:pStyle w:val="TableContents"/>
              <w:bidi w:val="0"/>
              <w:spacing w:before="0" w:after="283"/>
              <w:jc w:val="center"/>
              <w:rPr/>
            </w:pPr>
            <w:r>
              <w:rPr/>
              <w:t>37</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4.12</w:t>
            </w:r>
          </w:p>
        </w:tc>
        <w:tc>
          <w:tcPr>
            <w:tcW w:w="8180" w:type="dxa"/>
            <w:tcBorders/>
            <w:shd w:fill="CCEEFF" w:val="clear"/>
            <w:vAlign w:val="center"/>
          </w:tcPr>
          <w:p>
            <w:pPr>
              <w:pStyle w:val="TableContents"/>
              <w:bidi w:val="0"/>
              <w:spacing w:before="0" w:after="283"/>
              <w:jc w:val="left"/>
              <w:rPr/>
            </w:pPr>
            <w:r>
              <w:rPr/>
              <w:t>Intellectual Property</w:t>
            </w:r>
          </w:p>
        </w:tc>
        <w:tc>
          <w:tcPr>
            <w:tcW w:w="275" w:type="dxa"/>
            <w:tcBorders/>
            <w:shd w:fill="CCEEFF" w:val="clear"/>
            <w:vAlign w:val="center"/>
          </w:tcPr>
          <w:p>
            <w:pPr>
              <w:pStyle w:val="TableContents"/>
              <w:bidi w:val="0"/>
              <w:spacing w:before="0" w:after="283"/>
              <w:jc w:val="center"/>
              <w:rPr/>
            </w:pPr>
            <w:r>
              <w:rPr/>
              <w:t>37</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4.13</w:t>
            </w:r>
          </w:p>
        </w:tc>
        <w:tc>
          <w:tcPr>
            <w:tcW w:w="8180" w:type="dxa"/>
            <w:tcBorders/>
            <w:shd w:fill="FFFFFF" w:val="clear"/>
            <w:vAlign w:val="center"/>
          </w:tcPr>
          <w:p>
            <w:pPr>
              <w:pStyle w:val="TableContents"/>
              <w:bidi w:val="0"/>
              <w:spacing w:before="0" w:after="283"/>
              <w:jc w:val="left"/>
              <w:rPr/>
            </w:pPr>
            <w:r>
              <w:rPr/>
              <w:t>Agreements, Contracts and Commitments</w:t>
            </w:r>
          </w:p>
        </w:tc>
        <w:tc>
          <w:tcPr>
            <w:tcW w:w="275" w:type="dxa"/>
            <w:tcBorders/>
            <w:shd w:fill="FFFFFF" w:val="clear"/>
            <w:vAlign w:val="center"/>
          </w:tcPr>
          <w:p>
            <w:pPr>
              <w:pStyle w:val="TableContents"/>
              <w:bidi w:val="0"/>
              <w:spacing w:before="0" w:after="283"/>
              <w:jc w:val="center"/>
              <w:rPr/>
            </w:pPr>
            <w:r>
              <w:rPr/>
              <w:t>39</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4.14</w:t>
            </w:r>
          </w:p>
        </w:tc>
        <w:tc>
          <w:tcPr>
            <w:tcW w:w="8180" w:type="dxa"/>
            <w:tcBorders/>
            <w:shd w:fill="CCEEFF" w:val="clear"/>
            <w:vAlign w:val="center"/>
          </w:tcPr>
          <w:p>
            <w:pPr>
              <w:pStyle w:val="TableContents"/>
              <w:bidi w:val="0"/>
              <w:spacing w:before="0" w:after="283"/>
              <w:jc w:val="left"/>
              <w:rPr/>
            </w:pPr>
            <w:r>
              <w:rPr/>
              <w:t>Compliance; Permits</w:t>
            </w:r>
          </w:p>
        </w:tc>
        <w:tc>
          <w:tcPr>
            <w:tcW w:w="275" w:type="dxa"/>
            <w:tcBorders/>
            <w:shd w:fill="CCEEFF" w:val="clear"/>
            <w:vAlign w:val="center"/>
          </w:tcPr>
          <w:p>
            <w:pPr>
              <w:pStyle w:val="TableContents"/>
              <w:bidi w:val="0"/>
              <w:spacing w:before="0" w:after="283"/>
              <w:jc w:val="center"/>
              <w:rPr/>
            </w:pPr>
            <w:r>
              <w:rPr/>
              <w:t>41</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4.15</w:t>
            </w:r>
          </w:p>
        </w:tc>
        <w:tc>
          <w:tcPr>
            <w:tcW w:w="8180" w:type="dxa"/>
            <w:tcBorders/>
            <w:shd w:fill="FFFFFF" w:val="clear"/>
            <w:vAlign w:val="center"/>
          </w:tcPr>
          <w:p>
            <w:pPr>
              <w:pStyle w:val="TableContents"/>
              <w:bidi w:val="0"/>
              <w:spacing w:before="0" w:after="283"/>
              <w:jc w:val="left"/>
              <w:rPr/>
            </w:pPr>
            <w:r>
              <w:rPr/>
              <w:t>Legal Proceedings; Orders</w:t>
            </w:r>
          </w:p>
        </w:tc>
        <w:tc>
          <w:tcPr>
            <w:tcW w:w="275" w:type="dxa"/>
            <w:tcBorders/>
            <w:shd w:fill="FFFFFF" w:val="clear"/>
            <w:vAlign w:val="center"/>
          </w:tcPr>
          <w:p>
            <w:pPr>
              <w:pStyle w:val="TableContents"/>
              <w:bidi w:val="0"/>
              <w:spacing w:before="0" w:after="283"/>
              <w:jc w:val="center"/>
              <w:rPr/>
            </w:pPr>
            <w:r>
              <w:rPr/>
              <w:t>42</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4.16</w:t>
            </w:r>
          </w:p>
        </w:tc>
        <w:tc>
          <w:tcPr>
            <w:tcW w:w="8180" w:type="dxa"/>
            <w:tcBorders/>
            <w:shd w:fill="CCEEFF" w:val="clear"/>
            <w:vAlign w:val="center"/>
          </w:tcPr>
          <w:p>
            <w:pPr>
              <w:pStyle w:val="TableContents"/>
              <w:bidi w:val="0"/>
              <w:spacing w:before="0" w:after="283"/>
              <w:jc w:val="left"/>
              <w:rPr/>
            </w:pPr>
            <w:r>
              <w:rPr/>
              <w:t>Tax Matters</w:t>
            </w:r>
          </w:p>
        </w:tc>
        <w:tc>
          <w:tcPr>
            <w:tcW w:w="275" w:type="dxa"/>
            <w:tcBorders/>
            <w:shd w:fill="CCEEFF" w:val="clear"/>
            <w:vAlign w:val="center"/>
          </w:tcPr>
          <w:p>
            <w:pPr>
              <w:pStyle w:val="TableContents"/>
              <w:bidi w:val="0"/>
              <w:spacing w:before="0" w:after="283"/>
              <w:jc w:val="center"/>
              <w:rPr/>
            </w:pPr>
            <w:r>
              <w:rPr/>
              <w:t>42</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4.17</w:t>
            </w:r>
          </w:p>
        </w:tc>
        <w:tc>
          <w:tcPr>
            <w:tcW w:w="8180" w:type="dxa"/>
            <w:tcBorders/>
            <w:shd w:fill="FFFFFF" w:val="clear"/>
            <w:vAlign w:val="center"/>
          </w:tcPr>
          <w:p>
            <w:pPr>
              <w:pStyle w:val="TableContents"/>
              <w:bidi w:val="0"/>
              <w:spacing w:before="0" w:after="283"/>
              <w:jc w:val="left"/>
              <w:rPr/>
            </w:pPr>
            <w:r>
              <w:rPr/>
              <w:t>Employee and Labor Matters; Benefit Plans</w:t>
            </w:r>
          </w:p>
        </w:tc>
        <w:tc>
          <w:tcPr>
            <w:tcW w:w="275" w:type="dxa"/>
            <w:tcBorders/>
            <w:shd w:fill="FFFFFF" w:val="clear"/>
            <w:vAlign w:val="center"/>
          </w:tcPr>
          <w:p>
            <w:pPr>
              <w:pStyle w:val="TableContents"/>
              <w:bidi w:val="0"/>
              <w:spacing w:before="0" w:after="283"/>
              <w:jc w:val="center"/>
              <w:rPr/>
            </w:pPr>
            <w:r>
              <w:rPr/>
              <w:t>44</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809" w:type="dxa"/>
        <w:jc w:val="left"/>
        <w:tblInd w:w="0" w:type="dxa"/>
        <w:tblLayout w:type="fixed"/>
        <w:tblCellMar>
          <w:top w:w="0" w:type="dxa"/>
          <w:left w:w="0" w:type="dxa"/>
          <w:bottom w:w="0" w:type="dxa"/>
          <w:right w:w="0" w:type="dxa"/>
        </w:tblCellMar>
      </w:tblPr>
      <w:tblGrid>
        <w:gridCol w:w="189"/>
        <w:gridCol w:w="1120"/>
        <w:gridCol w:w="5225"/>
        <w:gridCol w:w="275"/>
      </w:tblGrid>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4.18</w:t>
            </w:r>
          </w:p>
        </w:tc>
        <w:tc>
          <w:tcPr>
            <w:tcW w:w="5225" w:type="dxa"/>
            <w:tcBorders/>
            <w:shd w:fill="CCEEFF" w:val="clear"/>
            <w:vAlign w:val="center"/>
          </w:tcPr>
          <w:p>
            <w:pPr>
              <w:pStyle w:val="TableContents"/>
              <w:bidi w:val="0"/>
              <w:spacing w:before="0" w:after="283"/>
              <w:jc w:val="left"/>
              <w:rPr/>
            </w:pPr>
            <w:r>
              <w:rPr/>
              <w:t>Environmental Matters</w:t>
            </w:r>
          </w:p>
        </w:tc>
        <w:tc>
          <w:tcPr>
            <w:tcW w:w="275" w:type="dxa"/>
            <w:tcBorders/>
            <w:shd w:fill="CCEEFF" w:val="clear"/>
            <w:vAlign w:val="center"/>
          </w:tcPr>
          <w:p>
            <w:pPr>
              <w:pStyle w:val="TableContents"/>
              <w:bidi w:val="0"/>
              <w:spacing w:before="0" w:after="283"/>
              <w:jc w:val="center"/>
              <w:rPr/>
            </w:pPr>
            <w:r>
              <w:rPr/>
              <w:t>48</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4.19</w:t>
            </w:r>
          </w:p>
        </w:tc>
        <w:tc>
          <w:tcPr>
            <w:tcW w:w="5225" w:type="dxa"/>
            <w:tcBorders/>
            <w:shd w:fill="FFFFFF" w:val="clear"/>
            <w:vAlign w:val="center"/>
          </w:tcPr>
          <w:p>
            <w:pPr>
              <w:pStyle w:val="TableContents"/>
              <w:bidi w:val="0"/>
              <w:spacing w:before="0" w:after="283"/>
              <w:jc w:val="left"/>
              <w:rPr/>
            </w:pPr>
            <w:r>
              <w:rPr/>
              <w:t>Transactions with Affiliates</w:t>
            </w:r>
          </w:p>
        </w:tc>
        <w:tc>
          <w:tcPr>
            <w:tcW w:w="275" w:type="dxa"/>
            <w:tcBorders/>
            <w:shd w:fill="FFFFFF" w:val="clear"/>
            <w:vAlign w:val="center"/>
          </w:tcPr>
          <w:p>
            <w:pPr>
              <w:pStyle w:val="TableContents"/>
              <w:bidi w:val="0"/>
              <w:spacing w:before="0" w:after="283"/>
              <w:jc w:val="center"/>
              <w:rPr/>
            </w:pPr>
            <w:r>
              <w:rPr/>
              <w:t>48</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4.20</w:t>
            </w:r>
          </w:p>
        </w:tc>
        <w:tc>
          <w:tcPr>
            <w:tcW w:w="5225" w:type="dxa"/>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48</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4.21</w:t>
            </w:r>
          </w:p>
        </w:tc>
        <w:tc>
          <w:tcPr>
            <w:tcW w:w="5225" w:type="dxa"/>
            <w:tcBorders/>
            <w:shd w:fill="FFFFFF" w:val="clear"/>
            <w:vAlign w:val="center"/>
          </w:tcPr>
          <w:p>
            <w:pPr>
              <w:pStyle w:val="TableContents"/>
              <w:bidi w:val="0"/>
              <w:spacing w:before="0" w:after="283"/>
              <w:jc w:val="left"/>
              <w:rPr/>
            </w:pPr>
            <w:r>
              <w:rPr/>
              <w:t>No Financial Advisors</w:t>
            </w:r>
          </w:p>
        </w:tc>
        <w:tc>
          <w:tcPr>
            <w:tcW w:w="275" w:type="dxa"/>
            <w:tcBorders/>
            <w:shd w:fill="FFFFFF" w:val="clear"/>
            <w:vAlign w:val="center"/>
          </w:tcPr>
          <w:p>
            <w:pPr>
              <w:pStyle w:val="TableContents"/>
              <w:bidi w:val="0"/>
              <w:spacing w:before="0" w:after="283"/>
              <w:jc w:val="center"/>
              <w:rPr/>
            </w:pPr>
            <w:r>
              <w:rPr/>
              <w:t>48</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4.22</w:t>
            </w:r>
          </w:p>
        </w:tc>
        <w:tc>
          <w:tcPr>
            <w:tcW w:w="5225" w:type="dxa"/>
            <w:tcBorders/>
            <w:shd w:fill="CCEEFF" w:val="clear"/>
            <w:vAlign w:val="center"/>
          </w:tcPr>
          <w:p>
            <w:pPr>
              <w:pStyle w:val="TableContents"/>
              <w:bidi w:val="0"/>
              <w:spacing w:before="0" w:after="283"/>
              <w:jc w:val="left"/>
              <w:rPr/>
            </w:pPr>
            <w:r>
              <w:rPr/>
              <w:t>Anti-Bribery</w:t>
            </w:r>
          </w:p>
        </w:tc>
        <w:tc>
          <w:tcPr>
            <w:tcW w:w="275" w:type="dxa"/>
            <w:tcBorders/>
            <w:shd w:fill="CCEEFF" w:val="clear"/>
            <w:vAlign w:val="center"/>
          </w:tcPr>
          <w:p>
            <w:pPr>
              <w:pStyle w:val="TableContents"/>
              <w:bidi w:val="0"/>
              <w:spacing w:before="0" w:after="283"/>
              <w:jc w:val="center"/>
              <w:rPr/>
            </w:pPr>
            <w:r>
              <w:rPr/>
              <w:t>49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4.23</w:t>
            </w:r>
          </w:p>
        </w:tc>
        <w:tc>
          <w:tcPr>
            <w:tcW w:w="5225" w:type="dxa"/>
            <w:tcBorders/>
            <w:shd w:fill="FFFFFF" w:val="clear"/>
            <w:vAlign w:val="center"/>
          </w:tcPr>
          <w:p>
            <w:pPr>
              <w:pStyle w:val="TableContents"/>
              <w:bidi w:val="0"/>
              <w:spacing w:before="0" w:after="283"/>
              <w:jc w:val="left"/>
              <w:rPr/>
            </w:pPr>
            <w:r>
              <w:rPr/>
              <w:t>Other Agreements</w:t>
            </w:r>
          </w:p>
        </w:tc>
        <w:tc>
          <w:tcPr>
            <w:tcW w:w="275" w:type="dxa"/>
            <w:tcBorders/>
            <w:shd w:fill="FFFFFF" w:val="clear"/>
            <w:vAlign w:val="center"/>
          </w:tcPr>
          <w:p>
            <w:pPr>
              <w:pStyle w:val="TableContents"/>
              <w:bidi w:val="0"/>
              <w:spacing w:before="0" w:after="283"/>
              <w:jc w:val="center"/>
              <w:rPr/>
            </w:pPr>
            <w:r>
              <w:rPr/>
              <w:t>49</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4.24</w:t>
            </w:r>
          </w:p>
        </w:tc>
        <w:tc>
          <w:tcPr>
            <w:tcW w:w="5225" w:type="dxa"/>
            <w:tcBorders/>
            <w:shd w:fill="CCEEFF" w:val="clear"/>
            <w:vAlign w:val="center"/>
          </w:tcPr>
          <w:p>
            <w:pPr>
              <w:pStyle w:val="TableContents"/>
              <w:bidi w:val="0"/>
              <w:spacing w:before="0" w:after="283"/>
              <w:jc w:val="left"/>
              <w:rPr/>
            </w:pPr>
            <w:r>
              <w:rPr/>
              <w:t>Valid Issuance</w:t>
            </w:r>
          </w:p>
        </w:tc>
        <w:tc>
          <w:tcPr>
            <w:tcW w:w="275" w:type="dxa"/>
            <w:tcBorders/>
            <w:shd w:fill="CCEEFF" w:val="clear"/>
            <w:vAlign w:val="center"/>
          </w:tcPr>
          <w:p>
            <w:pPr>
              <w:pStyle w:val="TableContents"/>
              <w:bidi w:val="0"/>
              <w:spacing w:before="0" w:after="283"/>
              <w:jc w:val="center"/>
              <w:rPr/>
            </w:pPr>
            <w:r>
              <w:rPr/>
              <w:t>49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4.25</w:t>
            </w:r>
          </w:p>
        </w:tc>
        <w:tc>
          <w:tcPr>
            <w:tcW w:w="5225" w:type="dxa"/>
            <w:tcBorders/>
            <w:shd w:fill="FFFFFF" w:val="clear"/>
            <w:vAlign w:val="center"/>
          </w:tcPr>
          <w:p>
            <w:pPr>
              <w:pStyle w:val="TableContents"/>
              <w:bidi w:val="0"/>
              <w:spacing w:before="0" w:after="283"/>
              <w:jc w:val="left"/>
              <w:rPr/>
            </w:pPr>
            <w:r>
              <w:rPr/>
              <w:t>Securities Law Compliance; Insider Trading; Rule 144</w:t>
            </w:r>
          </w:p>
        </w:tc>
        <w:tc>
          <w:tcPr>
            <w:tcW w:w="275" w:type="dxa"/>
            <w:tcBorders/>
            <w:shd w:fill="FFFFFF" w:val="clear"/>
            <w:vAlign w:val="center"/>
          </w:tcPr>
          <w:p>
            <w:pPr>
              <w:pStyle w:val="TableContents"/>
              <w:bidi w:val="0"/>
              <w:spacing w:before="0" w:after="283"/>
              <w:jc w:val="center"/>
              <w:rPr/>
            </w:pPr>
            <w:r>
              <w:rPr/>
              <w:t>49</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4.26</w:t>
            </w:r>
          </w:p>
        </w:tc>
        <w:tc>
          <w:tcPr>
            <w:tcW w:w="5225" w:type="dxa"/>
            <w:tcBorders/>
            <w:shd w:fill="CCEEFF" w:val="clear"/>
            <w:vAlign w:val="center"/>
          </w:tcPr>
          <w:p>
            <w:pPr>
              <w:pStyle w:val="TableContents"/>
              <w:bidi w:val="0"/>
              <w:spacing w:before="0" w:after="283"/>
              <w:jc w:val="left"/>
              <w:rPr/>
            </w:pPr>
            <w:r>
              <w:rPr/>
              <w:t>Disclaimer of Other Representations or Warranties</w:t>
            </w:r>
          </w:p>
        </w:tc>
        <w:tc>
          <w:tcPr>
            <w:tcW w:w="275" w:type="dxa"/>
            <w:tcBorders/>
            <w:shd w:fill="CCEEFF" w:val="clear"/>
            <w:vAlign w:val="center"/>
          </w:tcPr>
          <w:p>
            <w:pPr>
              <w:pStyle w:val="TableContents"/>
              <w:bidi w:val="0"/>
              <w:spacing w:before="0" w:after="283"/>
              <w:jc w:val="center"/>
              <w:rPr/>
            </w:pPr>
            <w:r>
              <w:rPr/>
              <w:t>50</w:t>
            </w:r>
          </w:p>
        </w:tc>
      </w:tr>
      <w:tr>
        <w:trPr/>
        <w:tc>
          <w:tcPr>
            <w:tcW w:w="1309" w:type="dxa"/>
            <w:gridSpan w:val="2"/>
            <w:tcBorders/>
            <w:shd w:fill="FFFFFF" w:val="clear"/>
            <w:vAlign w:val="center"/>
          </w:tcPr>
          <w:p>
            <w:pPr>
              <w:pStyle w:val="TableContents"/>
              <w:bidi w:val="0"/>
              <w:spacing w:before="0" w:after="283"/>
              <w:jc w:val="left"/>
              <w:rPr/>
            </w:pPr>
            <w:r>
              <w:rPr/>
              <w:t>SECTION 5.</w:t>
            </w:r>
          </w:p>
        </w:tc>
        <w:tc>
          <w:tcPr>
            <w:tcW w:w="5225" w:type="dxa"/>
            <w:tcBorders/>
            <w:shd w:fill="FFFFFF" w:val="clear"/>
            <w:vAlign w:val="center"/>
          </w:tcPr>
          <w:p>
            <w:pPr>
              <w:pStyle w:val="TableContents"/>
              <w:bidi w:val="0"/>
              <w:spacing w:before="0" w:after="283"/>
              <w:jc w:val="left"/>
              <w:rPr/>
            </w:pPr>
            <w:r>
              <w:rPr/>
              <w:t>CERTAIN COVENANTS OF THE PARTIES</w:t>
            </w:r>
          </w:p>
        </w:tc>
        <w:tc>
          <w:tcPr>
            <w:tcW w:w="275" w:type="dxa"/>
            <w:tcBorders/>
            <w:shd w:fill="FFFFFF" w:val="clear"/>
            <w:vAlign w:val="center"/>
          </w:tcPr>
          <w:p>
            <w:pPr>
              <w:pStyle w:val="TableContents"/>
              <w:bidi w:val="0"/>
              <w:spacing w:before="0" w:after="283"/>
              <w:jc w:val="center"/>
              <w:rPr/>
            </w:pPr>
            <w:r>
              <w:rPr/>
              <w:t>51</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5.1</w:t>
            </w:r>
          </w:p>
        </w:tc>
        <w:tc>
          <w:tcPr>
            <w:tcW w:w="5225" w:type="dxa"/>
            <w:tcBorders/>
            <w:shd w:fill="CCEEFF" w:val="clear"/>
            <w:vAlign w:val="center"/>
          </w:tcPr>
          <w:p>
            <w:pPr>
              <w:pStyle w:val="TableContents"/>
              <w:bidi w:val="0"/>
              <w:spacing w:before="0" w:after="283"/>
              <w:jc w:val="left"/>
              <w:rPr/>
            </w:pPr>
            <w:r>
              <w:rPr/>
              <w:t>Operation of Parent’s Business</w:t>
            </w:r>
          </w:p>
        </w:tc>
        <w:tc>
          <w:tcPr>
            <w:tcW w:w="275" w:type="dxa"/>
            <w:tcBorders/>
            <w:shd w:fill="CCEEFF" w:val="clear"/>
            <w:vAlign w:val="center"/>
          </w:tcPr>
          <w:p>
            <w:pPr>
              <w:pStyle w:val="TableContents"/>
              <w:bidi w:val="0"/>
              <w:spacing w:before="0" w:after="283"/>
              <w:jc w:val="center"/>
              <w:rPr/>
            </w:pPr>
            <w:r>
              <w:rPr/>
              <w:t>51</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5.2</w:t>
            </w:r>
          </w:p>
        </w:tc>
        <w:tc>
          <w:tcPr>
            <w:tcW w:w="5225" w:type="dxa"/>
            <w:tcBorders/>
            <w:shd w:fill="FFFFFF" w:val="clear"/>
            <w:vAlign w:val="center"/>
          </w:tcPr>
          <w:p>
            <w:pPr>
              <w:pStyle w:val="TableContents"/>
              <w:bidi w:val="0"/>
              <w:spacing w:before="0" w:after="283"/>
              <w:jc w:val="left"/>
              <w:rPr/>
            </w:pPr>
            <w:r>
              <w:rPr/>
              <w:t>Operation of the Company’s Business</w:t>
            </w:r>
          </w:p>
        </w:tc>
        <w:tc>
          <w:tcPr>
            <w:tcW w:w="275" w:type="dxa"/>
            <w:tcBorders/>
            <w:shd w:fill="FFFFFF" w:val="clear"/>
            <w:vAlign w:val="center"/>
          </w:tcPr>
          <w:p>
            <w:pPr>
              <w:pStyle w:val="TableContents"/>
              <w:bidi w:val="0"/>
              <w:spacing w:before="0" w:after="283"/>
              <w:jc w:val="center"/>
              <w:rPr/>
            </w:pPr>
            <w:r>
              <w:rPr/>
              <w:t>53</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5.3</w:t>
            </w:r>
          </w:p>
        </w:tc>
        <w:tc>
          <w:tcPr>
            <w:tcW w:w="5225" w:type="dxa"/>
            <w:tcBorders/>
            <w:shd w:fill="CCEEFF" w:val="clear"/>
            <w:vAlign w:val="center"/>
          </w:tcPr>
          <w:p>
            <w:pPr>
              <w:pStyle w:val="TableContents"/>
              <w:bidi w:val="0"/>
              <w:spacing w:before="0" w:after="283"/>
              <w:jc w:val="left"/>
              <w:rPr/>
            </w:pPr>
            <w:r>
              <w:rPr/>
              <w:t>Access and Information</w:t>
            </w:r>
          </w:p>
        </w:tc>
        <w:tc>
          <w:tcPr>
            <w:tcW w:w="275" w:type="dxa"/>
            <w:tcBorders/>
            <w:shd w:fill="CCEEFF" w:val="clear"/>
            <w:vAlign w:val="center"/>
          </w:tcPr>
          <w:p>
            <w:pPr>
              <w:pStyle w:val="TableContents"/>
              <w:bidi w:val="0"/>
              <w:spacing w:before="0" w:after="283"/>
              <w:jc w:val="center"/>
              <w:rPr/>
            </w:pPr>
            <w:r>
              <w:rPr/>
              <w:t>56</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5.4</w:t>
            </w:r>
          </w:p>
        </w:tc>
        <w:tc>
          <w:tcPr>
            <w:tcW w:w="5225" w:type="dxa"/>
            <w:tcBorders/>
            <w:shd w:fill="FFFFFF" w:val="clear"/>
            <w:vAlign w:val="center"/>
          </w:tcPr>
          <w:p>
            <w:pPr>
              <w:pStyle w:val="TableContents"/>
              <w:bidi w:val="0"/>
              <w:spacing w:before="0" w:after="283"/>
              <w:jc w:val="left"/>
              <w:rPr/>
            </w:pPr>
            <w:r>
              <w:rPr/>
              <w:t>Notification of Certain Matters</w:t>
            </w:r>
          </w:p>
        </w:tc>
        <w:tc>
          <w:tcPr>
            <w:tcW w:w="275" w:type="dxa"/>
            <w:tcBorders/>
            <w:shd w:fill="FFFFFF" w:val="clear"/>
            <w:vAlign w:val="center"/>
          </w:tcPr>
          <w:p>
            <w:pPr>
              <w:pStyle w:val="TableContents"/>
              <w:bidi w:val="0"/>
              <w:spacing w:before="0" w:after="283"/>
              <w:jc w:val="center"/>
              <w:rPr/>
            </w:pPr>
            <w:r>
              <w:rPr/>
              <w:t>57</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5.5</w:t>
            </w:r>
          </w:p>
        </w:tc>
        <w:tc>
          <w:tcPr>
            <w:tcW w:w="5225" w:type="dxa"/>
            <w:tcBorders/>
            <w:shd w:fill="CCEEFF" w:val="clear"/>
            <w:vAlign w:val="center"/>
          </w:tcPr>
          <w:p>
            <w:pPr>
              <w:pStyle w:val="TableContents"/>
              <w:bidi w:val="0"/>
              <w:spacing w:before="0" w:after="283"/>
              <w:jc w:val="left"/>
              <w:rPr/>
            </w:pPr>
            <w:r>
              <w:rPr/>
              <w:t>Financial Information</w:t>
            </w:r>
          </w:p>
        </w:tc>
        <w:tc>
          <w:tcPr>
            <w:tcW w:w="275" w:type="dxa"/>
            <w:tcBorders/>
            <w:shd w:fill="CCEEFF" w:val="clear"/>
            <w:vAlign w:val="center"/>
          </w:tcPr>
          <w:p>
            <w:pPr>
              <w:pStyle w:val="TableContents"/>
              <w:bidi w:val="0"/>
              <w:spacing w:before="0" w:after="283"/>
              <w:jc w:val="center"/>
              <w:rPr/>
            </w:pPr>
            <w:r>
              <w:rPr/>
              <w:t>58</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5.6</w:t>
            </w:r>
          </w:p>
        </w:tc>
        <w:tc>
          <w:tcPr>
            <w:tcW w:w="5225" w:type="dxa"/>
            <w:tcBorders/>
            <w:shd w:fill="FFFFFF" w:val="clear"/>
            <w:vAlign w:val="center"/>
          </w:tcPr>
          <w:p>
            <w:pPr>
              <w:pStyle w:val="TableContents"/>
              <w:bidi w:val="0"/>
              <w:spacing w:before="0" w:after="283"/>
              <w:jc w:val="left"/>
              <w:rPr/>
            </w:pPr>
            <w:r>
              <w:rPr/>
              <w:t>Parent Non-Solicitation</w:t>
            </w:r>
          </w:p>
        </w:tc>
        <w:tc>
          <w:tcPr>
            <w:tcW w:w="275" w:type="dxa"/>
            <w:tcBorders/>
            <w:shd w:fill="FFFFFF" w:val="clear"/>
            <w:vAlign w:val="center"/>
          </w:tcPr>
          <w:p>
            <w:pPr>
              <w:pStyle w:val="TableContents"/>
              <w:bidi w:val="0"/>
              <w:spacing w:before="0" w:after="283"/>
              <w:jc w:val="center"/>
              <w:rPr/>
            </w:pPr>
            <w:r>
              <w:rPr/>
              <w:t>58</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5.7</w:t>
            </w:r>
          </w:p>
        </w:tc>
        <w:tc>
          <w:tcPr>
            <w:tcW w:w="5225" w:type="dxa"/>
            <w:tcBorders/>
            <w:shd w:fill="CCEEFF" w:val="clear"/>
            <w:vAlign w:val="center"/>
          </w:tcPr>
          <w:p>
            <w:pPr>
              <w:pStyle w:val="TableContents"/>
              <w:bidi w:val="0"/>
              <w:spacing w:before="0" w:after="283"/>
              <w:jc w:val="left"/>
              <w:rPr/>
            </w:pPr>
            <w:r>
              <w:rPr/>
              <w:t>Company Non-Solicitation</w:t>
            </w:r>
          </w:p>
        </w:tc>
        <w:tc>
          <w:tcPr>
            <w:tcW w:w="275" w:type="dxa"/>
            <w:tcBorders/>
            <w:shd w:fill="CCEEFF" w:val="clear"/>
            <w:vAlign w:val="center"/>
          </w:tcPr>
          <w:p>
            <w:pPr>
              <w:pStyle w:val="TableContents"/>
              <w:bidi w:val="0"/>
              <w:spacing w:before="0" w:after="283"/>
              <w:jc w:val="center"/>
              <w:rPr/>
            </w:pPr>
            <w:r>
              <w:rPr/>
              <w:t>59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5.8</w:t>
            </w:r>
          </w:p>
        </w:tc>
        <w:tc>
          <w:tcPr>
            <w:tcW w:w="5225" w:type="dxa"/>
            <w:tcBorders/>
            <w:shd w:fill="FFFFFF" w:val="clear"/>
            <w:vAlign w:val="center"/>
          </w:tcPr>
          <w:p>
            <w:pPr>
              <w:pStyle w:val="TableContents"/>
              <w:bidi w:val="0"/>
              <w:spacing w:before="0" w:after="283"/>
              <w:jc w:val="left"/>
              <w:rPr/>
            </w:pPr>
            <w:r>
              <w:rPr/>
              <w:t>Repayment of SAFE</w:t>
            </w:r>
          </w:p>
        </w:tc>
        <w:tc>
          <w:tcPr>
            <w:tcW w:w="275" w:type="dxa"/>
            <w:tcBorders/>
            <w:shd w:fill="FFFFFF" w:val="clear"/>
            <w:vAlign w:val="center"/>
          </w:tcPr>
          <w:p>
            <w:pPr>
              <w:pStyle w:val="TableContents"/>
              <w:bidi w:val="0"/>
              <w:spacing w:before="0" w:after="283"/>
              <w:jc w:val="center"/>
              <w:rPr/>
            </w:pPr>
            <w:r>
              <w:rPr/>
              <w:t>60</w:t>
            </w:r>
          </w:p>
        </w:tc>
      </w:tr>
      <w:tr>
        <w:trPr/>
        <w:tc>
          <w:tcPr>
            <w:tcW w:w="1309" w:type="dxa"/>
            <w:gridSpan w:val="2"/>
            <w:tcBorders/>
            <w:shd w:fill="CCEEFF" w:val="clear"/>
            <w:vAlign w:val="center"/>
          </w:tcPr>
          <w:p>
            <w:pPr>
              <w:pStyle w:val="TableContents"/>
              <w:bidi w:val="0"/>
              <w:spacing w:before="0" w:after="283"/>
              <w:jc w:val="left"/>
              <w:rPr/>
            </w:pPr>
            <w:r>
              <w:rPr/>
              <w:t>SECTION 6.</w:t>
            </w:r>
          </w:p>
        </w:tc>
        <w:tc>
          <w:tcPr>
            <w:tcW w:w="5225" w:type="dxa"/>
            <w:tcBorders/>
            <w:shd w:fill="CCEEFF" w:val="clear"/>
            <w:vAlign w:val="center"/>
          </w:tcPr>
          <w:p>
            <w:pPr>
              <w:pStyle w:val="TableContents"/>
              <w:bidi w:val="0"/>
              <w:spacing w:before="0" w:after="283"/>
              <w:jc w:val="left"/>
              <w:rPr/>
            </w:pPr>
            <w:r>
              <w:rPr/>
              <w:t>ADDITIONAL AGREEMENTS OF THE PARTIES</w:t>
            </w:r>
          </w:p>
        </w:tc>
        <w:tc>
          <w:tcPr>
            <w:tcW w:w="275" w:type="dxa"/>
            <w:tcBorders/>
            <w:shd w:fill="CCEEFF" w:val="clear"/>
            <w:vAlign w:val="center"/>
          </w:tcPr>
          <w:p>
            <w:pPr>
              <w:pStyle w:val="TableContents"/>
              <w:bidi w:val="0"/>
              <w:spacing w:before="0" w:after="283"/>
              <w:jc w:val="center"/>
              <w:rPr/>
            </w:pPr>
            <w:r>
              <w:rPr/>
              <w:t>60</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6.1</w:t>
            </w:r>
          </w:p>
        </w:tc>
        <w:tc>
          <w:tcPr>
            <w:tcW w:w="5225" w:type="dxa"/>
            <w:tcBorders/>
            <w:shd w:fill="FFFFFF" w:val="clear"/>
            <w:vAlign w:val="center"/>
          </w:tcPr>
          <w:p>
            <w:pPr>
              <w:pStyle w:val="TableContents"/>
              <w:bidi w:val="0"/>
              <w:spacing w:before="0" w:after="283"/>
              <w:jc w:val="left"/>
              <w:rPr/>
            </w:pPr>
            <w:r>
              <w:rPr/>
              <w:t>Parent Shareholders’ Meeting</w:t>
            </w:r>
          </w:p>
        </w:tc>
        <w:tc>
          <w:tcPr>
            <w:tcW w:w="275" w:type="dxa"/>
            <w:tcBorders/>
            <w:shd w:fill="FFFFFF" w:val="clear"/>
            <w:vAlign w:val="center"/>
          </w:tcPr>
          <w:p>
            <w:pPr>
              <w:pStyle w:val="TableContents"/>
              <w:bidi w:val="0"/>
              <w:spacing w:before="0" w:after="283"/>
              <w:jc w:val="center"/>
              <w:rPr/>
            </w:pPr>
            <w:r>
              <w:rPr/>
              <w:t>60</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6.2</w:t>
            </w:r>
          </w:p>
        </w:tc>
        <w:tc>
          <w:tcPr>
            <w:tcW w:w="5225" w:type="dxa"/>
            <w:tcBorders/>
            <w:shd w:fill="CCEEFF" w:val="clear"/>
            <w:vAlign w:val="center"/>
          </w:tcPr>
          <w:p>
            <w:pPr>
              <w:pStyle w:val="TableContents"/>
              <w:bidi w:val="0"/>
              <w:spacing w:before="0" w:after="283"/>
              <w:jc w:val="left"/>
              <w:rPr/>
            </w:pPr>
            <w:r>
              <w:rPr/>
              <w:t>Indemnification of Officers and Directors</w:t>
            </w:r>
          </w:p>
        </w:tc>
        <w:tc>
          <w:tcPr>
            <w:tcW w:w="275" w:type="dxa"/>
            <w:tcBorders/>
            <w:shd w:fill="CCEEFF" w:val="clear"/>
            <w:vAlign w:val="center"/>
          </w:tcPr>
          <w:p>
            <w:pPr>
              <w:pStyle w:val="TableContents"/>
              <w:bidi w:val="0"/>
              <w:spacing w:before="0" w:after="283"/>
              <w:jc w:val="center"/>
              <w:rPr/>
            </w:pPr>
            <w:r>
              <w:rPr/>
              <w:t>61</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6.3</w:t>
            </w:r>
          </w:p>
        </w:tc>
        <w:tc>
          <w:tcPr>
            <w:tcW w:w="5225" w:type="dxa"/>
            <w:tcBorders/>
            <w:shd w:fill="FFFFFF" w:val="clear"/>
            <w:vAlign w:val="center"/>
          </w:tcPr>
          <w:p>
            <w:pPr>
              <w:pStyle w:val="TableContents"/>
              <w:bidi w:val="0"/>
              <w:spacing w:before="0" w:after="283"/>
              <w:jc w:val="left"/>
              <w:rPr/>
            </w:pPr>
            <w:r>
              <w:rPr/>
              <w:t>Efforts</w:t>
            </w:r>
          </w:p>
        </w:tc>
        <w:tc>
          <w:tcPr>
            <w:tcW w:w="275" w:type="dxa"/>
            <w:tcBorders/>
            <w:shd w:fill="FFFFFF" w:val="clear"/>
            <w:vAlign w:val="center"/>
          </w:tcPr>
          <w:p>
            <w:pPr>
              <w:pStyle w:val="TableContents"/>
              <w:bidi w:val="0"/>
              <w:spacing w:before="0" w:after="283"/>
              <w:jc w:val="center"/>
              <w:rPr/>
            </w:pPr>
            <w:r>
              <w:rPr/>
              <w:t>63</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6.4</w:t>
            </w:r>
          </w:p>
        </w:tc>
        <w:tc>
          <w:tcPr>
            <w:tcW w:w="5225" w:type="dxa"/>
            <w:tcBorders/>
            <w:shd w:fill="CCEEFF" w:val="clear"/>
            <w:vAlign w:val="center"/>
          </w:tcPr>
          <w:p>
            <w:pPr>
              <w:pStyle w:val="TableContents"/>
              <w:bidi w:val="0"/>
              <w:spacing w:before="0" w:after="283"/>
              <w:jc w:val="left"/>
              <w:rPr/>
            </w:pPr>
            <w:r>
              <w:rPr/>
              <w:t>Listing</w:t>
            </w:r>
          </w:p>
        </w:tc>
        <w:tc>
          <w:tcPr>
            <w:tcW w:w="275" w:type="dxa"/>
            <w:tcBorders/>
            <w:shd w:fill="CCEEFF" w:val="clear"/>
            <w:vAlign w:val="center"/>
          </w:tcPr>
          <w:p>
            <w:pPr>
              <w:pStyle w:val="TableContents"/>
              <w:bidi w:val="0"/>
              <w:spacing w:before="0" w:after="283"/>
              <w:jc w:val="center"/>
              <w:rPr/>
            </w:pPr>
            <w:r>
              <w:rPr/>
              <w:t>63</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6.5</w:t>
            </w:r>
          </w:p>
        </w:tc>
        <w:tc>
          <w:tcPr>
            <w:tcW w:w="5225" w:type="dxa"/>
            <w:tcBorders/>
            <w:shd w:fill="FFFFFF" w:val="clear"/>
            <w:vAlign w:val="center"/>
          </w:tcPr>
          <w:p>
            <w:pPr>
              <w:pStyle w:val="TableContents"/>
              <w:bidi w:val="0"/>
              <w:spacing w:before="0" w:after="283"/>
              <w:jc w:val="left"/>
              <w:rPr/>
            </w:pPr>
            <w:r>
              <w:rPr/>
              <w:t>Tax Matters</w:t>
            </w:r>
          </w:p>
        </w:tc>
        <w:tc>
          <w:tcPr>
            <w:tcW w:w="275" w:type="dxa"/>
            <w:tcBorders/>
            <w:shd w:fill="FFFFFF" w:val="clear"/>
            <w:vAlign w:val="center"/>
          </w:tcPr>
          <w:p>
            <w:pPr>
              <w:pStyle w:val="TableContents"/>
              <w:bidi w:val="0"/>
              <w:spacing w:before="0" w:after="283"/>
              <w:jc w:val="center"/>
              <w:rPr/>
            </w:pPr>
            <w:r>
              <w:rPr/>
              <w:t>64</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6.6</w:t>
            </w:r>
          </w:p>
        </w:tc>
        <w:tc>
          <w:tcPr>
            <w:tcW w:w="5225" w:type="dxa"/>
            <w:tcBorders/>
            <w:shd w:fill="CCEEFF" w:val="clear"/>
            <w:vAlign w:val="center"/>
          </w:tcPr>
          <w:p>
            <w:pPr>
              <w:pStyle w:val="TableContents"/>
              <w:bidi w:val="0"/>
              <w:spacing w:before="0" w:after="283"/>
              <w:jc w:val="left"/>
              <w:rPr/>
            </w:pPr>
            <w:r>
              <w:rPr/>
              <w:t>Directors and Officers</w:t>
            </w:r>
          </w:p>
        </w:tc>
        <w:tc>
          <w:tcPr>
            <w:tcW w:w="275" w:type="dxa"/>
            <w:tcBorders/>
            <w:shd w:fill="CCEEFF" w:val="clear"/>
            <w:vAlign w:val="center"/>
          </w:tcPr>
          <w:p>
            <w:pPr>
              <w:pStyle w:val="TableContents"/>
              <w:bidi w:val="0"/>
              <w:spacing w:before="0" w:after="283"/>
              <w:jc w:val="center"/>
              <w:rPr/>
            </w:pPr>
            <w:r>
              <w:rPr/>
              <w:t>68</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6.7</w:t>
            </w:r>
          </w:p>
        </w:tc>
        <w:tc>
          <w:tcPr>
            <w:tcW w:w="5225" w:type="dxa"/>
            <w:tcBorders/>
            <w:shd w:fill="FFFFFF" w:val="clear"/>
            <w:vAlign w:val="center"/>
          </w:tcPr>
          <w:p>
            <w:pPr>
              <w:pStyle w:val="TableContents"/>
              <w:bidi w:val="0"/>
              <w:spacing w:before="0" w:after="283"/>
              <w:jc w:val="left"/>
              <w:rPr/>
            </w:pPr>
            <w:r>
              <w:rPr/>
              <w:t>Section 16 Matters</w:t>
            </w:r>
          </w:p>
        </w:tc>
        <w:tc>
          <w:tcPr>
            <w:tcW w:w="275" w:type="dxa"/>
            <w:tcBorders/>
            <w:shd w:fill="FFFFFF" w:val="clear"/>
            <w:vAlign w:val="center"/>
          </w:tcPr>
          <w:p>
            <w:pPr>
              <w:pStyle w:val="TableContents"/>
              <w:bidi w:val="0"/>
              <w:spacing w:before="0" w:after="283"/>
              <w:jc w:val="center"/>
              <w:rPr/>
            </w:pPr>
            <w:r>
              <w:rPr/>
              <w:t>68</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6.8</w:t>
            </w:r>
          </w:p>
        </w:tc>
        <w:tc>
          <w:tcPr>
            <w:tcW w:w="5225" w:type="dxa"/>
            <w:tcBorders/>
            <w:shd w:fill="CCEEFF" w:val="clear"/>
            <w:vAlign w:val="center"/>
          </w:tcPr>
          <w:p>
            <w:pPr>
              <w:pStyle w:val="TableContents"/>
              <w:bidi w:val="0"/>
              <w:spacing w:before="0" w:after="283"/>
              <w:jc w:val="left"/>
              <w:rPr/>
            </w:pPr>
            <w:r>
              <w:rPr/>
              <w:t>Cooperation</w:t>
            </w:r>
          </w:p>
        </w:tc>
        <w:tc>
          <w:tcPr>
            <w:tcW w:w="275" w:type="dxa"/>
            <w:tcBorders/>
            <w:shd w:fill="CCEEFF" w:val="clear"/>
            <w:vAlign w:val="center"/>
          </w:tcPr>
          <w:p>
            <w:pPr>
              <w:pStyle w:val="TableContents"/>
              <w:bidi w:val="0"/>
              <w:spacing w:before="0" w:after="283"/>
              <w:jc w:val="center"/>
              <w:rPr/>
            </w:pPr>
            <w:r>
              <w:rPr/>
              <w:t>69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6.9</w:t>
            </w:r>
          </w:p>
        </w:tc>
        <w:tc>
          <w:tcPr>
            <w:tcW w:w="5225" w:type="dxa"/>
            <w:tcBorders/>
            <w:shd w:fill="FFFFFF" w:val="clear"/>
            <w:vAlign w:val="center"/>
          </w:tcPr>
          <w:p>
            <w:pPr>
              <w:pStyle w:val="TableContents"/>
              <w:bidi w:val="0"/>
              <w:spacing w:before="0" w:after="283"/>
              <w:jc w:val="left"/>
              <w:rPr/>
            </w:pPr>
            <w:r>
              <w:rPr/>
              <w:t>Closing Certificates</w:t>
            </w:r>
          </w:p>
        </w:tc>
        <w:tc>
          <w:tcPr>
            <w:tcW w:w="275" w:type="dxa"/>
            <w:tcBorders/>
            <w:shd w:fill="FFFFFF" w:val="clear"/>
            <w:vAlign w:val="center"/>
          </w:tcPr>
          <w:p>
            <w:pPr>
              <w:pStyle w:val="TableContents"/>
              <w:bidi w:val="0"/>
              <w:spacing w:before="0" w:after="283"/>
              <w:jc w:val="center"/>
              <w:rPr/>
            </w:pPr>
            <w:r>
              <w:rPr/>
              <w:t>69</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6.10</w:t>
            </w:r>
          </w:p>
        </w:tc>
        <w:tc>
          <w:tcPr>
            <w:tcW w:w="5225" w:type="dxa"/>
            <w:tcBorders/>
            <w:shd w:fill="CCEEFF" w:val="clear"/>
            <w:vAlign w:val="center"/>
          </w:tcPr>
          <w:p>
            <w:pPr>
              <w:pStyle w:val="TableContents"/>
              <w:bidi w:val="0"/>
              <w:spacing w:before="0" w:after="283"/>
              <w:jc w:val="left"/>
              <w:rPr/>
            </w:pPr>
            <w:r>
              <w:rPr/>
              <w:t>Takeover Statutes</w:t>
            </w:r>
          </w:p>
        </w:tc>
        <w:tc>
          <w:tcPr>
            <w:tcW w:w="275" w:type="dxa"/>
            <w:tcBorders/>
            <w:shd w:fill="CCEEFF" w:val="clear"/>
            <w:vAlign w:val="center"/>
          </w:tcPr>
          <w:p>
            <w:pPr>
              <w:pStyle w:val="TableContents"/>
              <w:bidi w:val="0"/>
              <w:spacing w:before="0" w:after="283"/>
              <w:jc w:val="center"/>
              <w:rPr/>
            </w:pPr>
            <w:r>
              <w:rPr/>
              <w:t>69</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6.11</w:t>
            </w:r>
          </w:p>
        </w:tc>
        <w:tc>
          <w:tcPr>
            <w:tcW w:w="5225" w:type="dxa"/>
            <w:tcBorders/>
            <w:shd w:fill="FFFFFF" w:val="clear"/>
            <w:vAlign w:val="center"/>
          </w:tcPr>
          <w:p>
            <w:pPr>
              <w:pStyle w:val="TableContents"/>
              <w:bidi w:val="0"/>
              <w:spacing w:before="0" w:after="283"/>
              <w:jc w:val="left"/>
              <w:rPr/>
            </w:pPr>
            <w:r>
              <w:rPr/>
              <w:t>Obligations of Merger Sub</w:t>
            </w:r>
          </w:p>
        </w:tc>
        <w:tc>
          <w:tcPr>
            <w:tcW w:w="275" w:type="dxa"/>
            <w:tcBorders/>
            <w:shd w:fill="FFFFFF" w:val="clear"/>
            <w:vAlign w:val="center"/>
          </w:tcPr>
          <w:p>
            <w:pPr>
              <w:pStyle w:val="TableContents"/>
              <w:bidi w:val="0"/>
              <w:spacing w:before="0" w:after="283"/>
              <w:jc w:val="center"/>
              <w:rPr/>
            </w:pPr>
            <w:r>
              <w:rPr/>
              <w:t>70</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6.12</w:t>
            </w:r>
          </w:p>
        </w:tc>
        <w:tc>
          <w:tcPr>
            <w:tcW w:w="5225" w:type="dxa"/>
            <w:tcBorders/>
            <w:shd w:fill="CCEEFF" w:val="clear"/>
            <w:vAlign w:val="center"/>
          </w:tcPr>
          <w:p>
            <w:pPr>
              <w:pStyle w:val="TableContents"/>
              <w:bidi w:val="0"/>
              <w:spacing w:before="0" w:after="283"/>
              <w:jc w:val="left"/>
              <w:rPr/>
            </w:pPr>
            <w:r>
              <w:rPr/>
              <w:t>Legends</w:t>
            </w:r>
          </w:p>
        </w:tc>
        <w:tc>
          <w:tcPr>
            <w:tcW w:w="275" w:type="dxa"/>
            <w:tcBorders/>
            <w:shd w:fill="CCEEFF" w:val="clear"/>
            <w:vAlign w:val="center"/>
          </w:tcPr>
          <w:p>
            <w:pPr>
              <w:pStyle w:val="TableContents"/>
              <w:bidi w:val="0"/>
              <w:spacing w:before="0" w:after="283"/>
              <w:jc w:val="center"/>
              <w:rPr/>
            </w:pPr>
            <w:r>
              <w:rPr/>
              <w:t>70</w:t>
            </w:r>
          </w:p>
        </w:tc>
      </w:tr>
      <w:tr>
        <w:trPr/>
        <w:tc>
          <w:tcPr>
            <w:tcW w:w="18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6.13</w:t>
            </w:r>
          </w:p>
        </w:tc>
        <w:tc>
          <w:tcPr>
            <w:tcW w:w="5225" w:type="dxa"/>
            <w:tcBorders/>
            <w:shd w:fill="FFFFFF" w:val="clear"/>
            <w:vAlign w:val="center"/>
          </w:tcPr>
          <w:p>
            <w:pPr>
              <w:pStyle w:val="TableContents"/>
              <w:bidi w:val="0"/>
              <w:spacing w:before="0" w:after="283"/>
              <w:jc w:val="left"/>
              <w:rPr/>
            </w:pPr>
            <w:r>
              <w:rPr/>
              <w:t>Private Placement</w:t>
            </w:r>
          </w:p>
        </w:tc>
        <w:tc>
          <w:tcPr>
            <w:tcW w:w="275" w:type="dxa"/>
            <w:tcBorders/>
            <w:shd w:fill="FFFFFF" w:val="clear"/>
            <w:vAlign w:val="center"/>
          </w:tcPr>
          <w:p>
            <w:pPr>
              <w:pStyle w:val="TableContents"/>
              <w:bidi w:val="0"/>
              <w:spacing w:before="0" w:after="283"/>
              <w:jc w:val="center"/>
              <w:rPr/>
            </w:pPr>
            <w:r>
              <w:rPr/>
              <w:t>70</w:t>
            </w:r>
          </w:p>
        </w:tc>
      </w:tr>
      <w:tr>
        <w:trPr/>
        <w:tc>
          <w:tcPr>
            <w:tcW w:w="18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6.14</w:t>
            </w:r>
          </w:p>
        </w:tc>
        <w:tc>
          <w:tcPr>
            <w:tcW w:w="5225" w:type="dxa"/>
            <w:tcBorders/>
            <w:shd w:fill="CCEEFF" w:val="clear"/>
            <w:vAlign w:val="center"/>
          </w:tcPr>
          <w:p>
            <w:pPr>
              <w:pStyle w:val="TableContents"/>
              <w:bidi w:val="0"/>
              <w:spacing w:before="0" w:after="283"/>
              <w:jc w:val="left"/>
              <w:rPr/>
            </w:pPr>
            <w:r>
              <w:rPr/>
              <w:t>Expenses</w:t>
            </w:r>
          </w:p>
        </w:tc>
        <w:tc>
          <w:tcPr>
            <w:tcW w:w="275" w:type="dxa"/>
            <w:tcBorders/>
            <w:shd w:fill="CCEEFF" w:val="clear"/>
            <w:vAlign w:val="center"/>
          </w:tcPr>
          <w:p>
            <w:pPr>
              <w:pStyle w:val="TableContents"/>
              <w:bidi w:val="0"/>
              <w:spacing w:before="0" w:after="283"/>
              <w:jc w:val="center"/>
              <w:rPr/>
            </w:pPr>
            <w:r>
              <w:rPr/>
              <w:t>70</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5"/>
        <w:gridCol w:w="1157"/>
        <w:gridCol w:w="8577"/>
        <w:gridCol w:w="276"/>
      </w:tblGrid>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6.15</w:t>
            </w:r>
          </w:p>
        </w:tc>
        <w:tc>
          <w:tcPr>
            <w:tcW w:w="8577" w:type="dxa"/>
            <w:tcBorders/>
            <w:shd w:fill="CCEEFF" w:val="clear"/>
            <w:vAlign w:val="center"/>
          </w:tcPr>
          <w:p>
            <w:pPr>
              <w:pStyle w:val="TableContents"/>
              <w:bidi w:val="0"/>
              <w:spacing w:before="0" w:after="283"/>
              <w:jc w:val="left"/>
              <w:rPr/>
            </w:pPr>
            <w:r>
              <w:rPr/>
              <w:t>Rule 144 Compliance</w:t>
            </w:r>
          </w:p>
        </w:tc>
        <w:tc>
          <w:tcPr>
            <w:tcW w:w="276" w:type="dxa"/>
            <w:tcBorders/>
            <w:shd w:fill="CCEEFF" w:val="clear"/>
            <w:vAlign w:val="center"/>
          </w:tcPr>
          <w:p>
            <w:pPr>
              <w:pStyle w:val="TableContents"/>
              <w:bidi w:val="0"/>
              <w:spacing w:before="0" w:after="283"/>
              <w:jc w:val="center"/>
              <w:rPr/>
            </w:pPr>
            <w:r>
              <w:rPr/>
              <w:t>71</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6.16</w:t>
            </w:r>
          </w:p>
        </w:tc>
        <w:tc>
          <w:tcPr>
            <w:tcW w:w="8577" w:type="dxa"/>
            <w:tcBorders/>
            <w:shd w:fill="FFFFFF" w:val="clear"/>
            <w:vAlign w:val="center"/>
          </w:tcPr>
          <w:p>
            <w:pPr>
              <w:pStyle w:val="TableContents"/>
              <w:bidi w:val="0"/>
              <w:spacing w:before="0" w:after="283"/>
              <w:jc w:val="left"/>
              <w:rPr/>
            </w:pPr>
            <w:r>
              <w:rPr/>
              <w:t>Registration Statement Cooperation</w:t>
            </w:r>
          </w:p>
        </w:tc>
        <w:tc>
          <w:tcPr>
            <w:tcW w:w="276" w:type="dxa"/>
            <w:tcBorders/>
            <w:shd w:fill="FFFFFF" w:val="clear"/>
            <w:vAlign w:val="center"/>
          </w:tcPr>
          <w:p>
            <w:pPr>
              <w:pStyle w:val="TableContents"/>
              <w:bidi w:val="0"/>
              <w:spacing w:before="0" w:after="283"/>
              <w:jc w:val="center"/>
              <w:rPr/>
            </w:pPr>
            <w:r>
              <w:rPr/>
              <w:t>71</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6.17</w:t>
            </w:r>
          </w:p>
        </w:tc>
        <w:tc>
          <w:tcPr>
            <w:tcW w:w="8577" w:type="dxa"/>
            <w:tcBorders/>
            <w:shd w:fill="CCEEFF" w:val="clear"/>
            <w:vAlign w:val="center"/>
          </w:tcPr>
          <w:p>
            <w:pPr>
              <w:pStyle w:val="TableContents"/>
              <w:bidi w:val="0"/>
              <w:spacing w:before="0" w:after="283"/>
              <w:jc w:val="left"/>
              <w:rPr/>
            </w:pPr>
            <w:r>
              <w:rPr/>
              <w:t>Lock Up of Consideration Shares</w:t>
            </w:r>
          </w:p>
        </w:tc>
        <w:tc>
          <w:tcPr>
            <w:tcW w:w="276" w:type="dxa"/>
            <w:tcBorders/>
            <w:shd w:fill="CCEEFF" w:val="clear"/>
            <w:vAlign w:val="center"/>
          </w:tcPr>
          <w:p>
            <w:pPr>
              <w:pStyle w:val="TableContents"/>
              <w:bidi w:val="0"/>
              <w:spacing w:before="0" w:after="283"/>
              <w:jc w:val="center"/>
              <w:rPr/>
            </w:pPr>
            <w:r>
              <w:rPr/>
              <w:t>72</w:t>
            </w:r>
          </w:p>
        </w:tc>
      </w:tr>
      <w:tr>
        <w:trPr/>
        <w:tc>
          <w:tcPr>
            <w:tcW w:w="1352" w:type="dxa"/>
            <w:gridSpan w:val="2"/>
            <w:tcBorders/>
            <w:shd w:fill="FFFFFF" w:val="clear"/>
            <w:vAlign w:val="center"/>
          </w:tcPr>
          <w:p>
            <w:pPr>
              <w:pStyle w:val="TableContents"/>
              <w:bidi w:val="0"/>
              <w:spacing w:before="0" w:after="283"/>
              <w:jc w:val="left"/>
              <w:rPr/>
            </w:pPr>
            <w:r>
              <w:rPr/>
              <w:t>SECTION 7.</w:t>
            </w:r>
          </w:p>
        </w:tc>
        <w:tc>
          <w:tcPr>
            <w:tcW w:w="8577" w:type="dxa"/>
            <w:tcBorders/>
            <w:shd w:fill="FFFFFF" w:val="clear"/>
            <w:vAlign w:val="center"/>
          </w:tcPr>
          <w:p>
            <w:pPr>
              <w:pStyle w:val="TableContents"/>
              <w:bidi w:val="0"/>
              <w:spacing w:before="0" w:after="283"/>
              <w:jc w:val="left"/>
              <w:rPr/>
            </w:pPr>
            <w:r>
              <w:rPr/>
              <w:t>INDEMNIFICATION</w:t>
            </w:r>
          </w:p>
        </w:tc>
        <w:tc>
          <w:tcPr>
            <w:tcW w:w="276" w:type="dxa"/>
            <w:tcBorders/>
            <w:shd w:fill="FFFFFF" w:val="clear"/>
            <w:vAlign w:val="center"/>
          </w:tcPr>
          <w:p>
            <w:pPr>
              <w:pStyle w:val="TableContents"/>
              <w:bidi w:val="0"/>
              <w:spacing w:before="0" w:after="283"/>
              <w:jc w:val="center"/>
              <w:rPr/>
            </w:pPr>
            <w:r>
              <w:rPr/>
              <w:t>72</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7.1</w:t>
            </w:r>
          </w:p>
        </w:tc>
        <w:tc>
          <w:tcPr>
            <w:tcW w:w="8577" w:type="dxa"/>
            <w:tcBorders/>
            <w:shd w:fill="CCEEFF" w:val="clear"/>
            <w:vAlign w:val="center"/>
          </w:tcPr>
          <w:p>
            <w:pPr>
              <w:pStyle w:val="TableContents"/>
              <w:bidi w:val="0"/>
              <w:spacing w:before="0" w:after="283"/>
              <w:jc w:val="left"/>
              <w:rPr/>
            </w:pPr>
            <w:r>
              <w:rPr/>
              <w:t>Indemnification by the Sellers in Favor of the Parent Indemnified Parties</w:t>
            </w:r>
          </w:p>
        </w:tc>
        <w:tc>
          <w:tcPr>
            <w:tcW w:w="276" w:type="dxa"/>
            <w:tcBorders/>
            <w:shd w:fill="CCEEFF" w:val="clear"/>
            <w:vAlign w:val="center"/>
          </w:tcPr>
          <w:p>
            <w:pPr>
              <w:pStyle w:val="TableContents"/>
              <w:bidi w:val="0"/>
              <w:spacing w:before="0" w:after="283"/>
              <w:jc w:val="center"/>
              <w:rPr/>
            </w:pPr>
            <w:r>
              <w:rPr/>
              <w:t>72</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7.2</w:t>
            </w:r>
          </w:p>
        </w:tc>
        <w:tc>
          <w:tcPr>
            <w:tcW w:w="8577" w:type="dxa"/>
            <w:tcBorders/>
            <w:shd w:fill="FFFFFF" w:val="clear"/>
            <w:vAlign w:val="center"/>
          </w:tcPr>
          <w:p>
            <w:pPr>
              <w:pStyle w:val="TableContents"/>
              <w:bidi w:val="0"/>
              <w:spacing w:before="0" w:after="283"/>
              <w:jc w:val="left"/>
              <w:rPr/>
            </w:pPr>
            <w:r>
              <w:rPr/>
              <w:t>Indemnification by Parent in Favor of the Seller Indemnified Parties</w:t>
            </w:r>
          </w:p>
        </w:tc>
        <w:tc>
          <w:tcPr>
            <w:tcW w:w="276" w:type="dxa"/>
            <w:tcBorders/>
            <w:shd w:fill="FFFFFF" w:val="clear"/>
            <w:vAlign w:val="center"/>
          </w:tcPr>
          <w:p>
            <w:pPr>
              <w:pStyle w:val="TableContents"/>
              <w:bidi w:val="0"/>
              <w:spacing w:before="0" w:after="283"/>
              <w:jc w:val="center"/>
              <w:rPr/>
            </w:pPr>
            <w:r>
              <w:rPr/>
              <w:t>73</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7.3</w:t>
            </w:r>
          </w:p>
        </w:tc>
        <w:tc>
          <w:tcPr>
            <w:tcW w:w="8577" w:type="dxa"/>
            <w:tcBorders/>
            <w:shd w:fill="CCEEFF" w:val="clear"/>
            <w:vAlign w:val="center"/>
          </w:tcPr>
          <w:p>
            <w:pPr>
              <w:pStyle w:val="TableContents"/>
              <w:bidi w:val="0"/>
              <w:spacing w:before="0" w:after="283"/>
              <w:jc w:val="left"/>
              <w:rPr/>
            </w:pPr>
            <w:r>
              <w:rPr/>
              <w:t>Limitations on Indemnification</w:t>
            </w:r>
          </w:p>
        </w:tc>
        <w:tc>
          <w:tcPr>
            <w:tcW w:w="276" w:type="dxa"/>
            <w:tcBorders/>
            <w:shd w:fill="CCEEFF" w:val="clear"/>
            <w:vAlign w:val="center"/>
          </w:tcPr>
          <w:p>
            <w:pPr>
              <w:pStyle w:val="TableContents"/>
              <w:bidi w:val="0"/>
              <w:spacing w:before="0" w:after="283"/>
              <w:jc w:val="center"/>
              <w:rPr/>
            </w:pPr>
            <w:r>
              <w:rPr/>
              <w:t>73</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7.4</w:t>
            </w:r>
          </w:p>
        </w:tc>
        <w:tc>
          <w:tcPr>
            <w:tcW w:w="8577" w:type="dxa"/>
            <w:tcBorders/>
            <w:shd w:fill="FFFFFF" w:val="clear"/>
            <w:vAlign w:val="center"/>
          </w:tcPr>
          <w:p>
            <w:pPr>
              <w:pStyle w:val="TableContents"/>
              <w:bidi w:val="0"/>
              <w:spacing w:before="0" w:after="283"/>
              <w:jc w:val="left"/>
              <w:rPr/>
            </w:pPr>
            <w:r>
              <w:rPr/>
              <w:t>Assertion of Claims; Payment of Claims</w:t>
            </w:r>
          </w:p>
        </w:tc>
        <w:tc>
          <w:tcPr>
            <w:tcW w:w="276" w:type="dxa"/>
            <w:tcBorders/>
            <w:shd w:fill="FFFFFF" w:val="clear"/>
            <w:vAlign w:val="center"/>
          </w:tcPr>
          <w:p>
            <w:pPr>
              <w:pStyle w:val="TableContents"/>
              <w:bidi w:val="0"/>
              <w:spacing w:before="0" w:after="283"/>
              <w:jc w:val="center"/>
              <w:rPr/>
            </w:pPr>
            <w:r>
              <w:rPr/>
              <w:t>74</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7.5</w:t>
            </w:r>
          </w:p>
        </w:tc>
        <w:tc>
          <w:tcPr>
            <w:tcW w:w="8577" w:type="dxa"/>
            <w:tcBorders/>
            <w:shd w:fill="CCEEFF" w:val="clear"/>
            <w:vAlign w:val="center"/>
          </w:tcPr>
          <w:p>
            <w:pPr>
              <w:pStyle w:val="TableContents"/>
              <w:bidi w:val="0"/>
              <w:spacing w:before="0" w:after="283"/>
              <w:jc w:val="left"/>
              <w:rPr/>
            </w:pPr>
            <w:r>
              <w:rPr/>
              <w:t>Notice and Defense of Third Party Claims</w:t>
            </w:r>
          </w:p>
        </w:tc>
        <w:tc>
          <w:tcPr>
            <w:tcW w:w="276" w:type="dxa"/>
            <w:tcBorders/>
            <w:shd w:fill="CCEEFF" w:val="clear"/>
            <w:vAlign w:val="center"/>
          </w:tcPr>
          <w:p>
            <w:pPr>
              <w:pStyle w:val="TableContents"/>
              <w:bidi w:val="0"/>
              <w:spacing w:before="0" w:after="283"/>
              <w:jc w:val="center"/>
              <w:rPr/>
            </w:pPr>
            <w:r>
              <w:rPr/>
              <w:t>76</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7.6</w:t>
            </w:r>
          </w:p>
        </w:tc>
        <w:tc>
          <w:tcPr>
            <w:tcW w:w="8577" w:type="dxa"/>
            <w:tcBorders/>
            <w:shd w:fill="FFFFFF" w:val="clear"/>
            <w:vAlign w:val="center"/>
          </w:tcPr>
          <w:p>
            <w:pPr>
              <w:pStyle w:val="TableContents"/>
              <w:bidi w:val="0"/>
              <w:spacing w:before="0" w:after="283"/>
              <w:jc w:val="left"/>
              <w:rPr/>
            </w:pPr>
            <w:r>
              <w:rPr/>
              <w:t>Survival</w:t>
            </w:r>
          </w:p>
        </w:tc>
        <w:tc>
          <w:tcPr>
            <w:tcW w:w="276" w:type="dxa"/>
            <w:tcBorders/>
            <w:shd w:fill="FFFFFF" w:val="clear"/>
            <w:vAlign w:val="center"/>
          </w:tcPr>
          <w:p>
            <w:pPr>
              <w:pStyle w:val="TableContents"/>
              <w:bidi w:val="0"/>
              <w:spacing w:before="0" w:after="283"/>
              <w:jc w:val="center"/>
              <w:rPr/>
            </w:pPr>
            <w:r>
              <w:rPr/>
              <w:t>77</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7.7</w:t>
            </w:r>
          </w:p>
        </w:tc>
        <w:tc>
          <w:tcPr>
            <w:tcW w:w="8577" w:type="dxa"/>
            <w:tcBorders/>
            <w:shd w:fill="CCEEFF" w:val="clear"/>
            <w:vAlign w:val="center"/>
          </w:tcPr>
          <w:p>
            <w:pPr>
              <w:pStyle w:val="TableContents"/>
              <w:bidi w:val="0"/>
              <w:spacing w:before="0" w:after="283"/>
              <w:jc w:val="left"/>
              <w:rPr/>
            </w:pPr>
            <w:r>
              <w:rPr/>
              <w:t>Indemnification Escrow</w:t>
            </w:r>
          </w:p>
        </w:tc>
        <w:tc>
          <w:tcPr>
            <w:tcW w:w="276" w:type="dxa"/>
            <w:tcBorders/>
            <w:shd w:fill="CCEEFF" w:val="clear"/>
            <w:vAlign w:val="center"/>
          </w:tcPr>
          <w:p>
            <w:pPr>
              <w:pStyle w:val="TableContents"/>
              <w:bidi w:val="0"/>
              <w:spacing w:before="0" w:after="283"/>
              <w:jc w:val="center"/>
              <w:rPr/>
            </w:pPr>
            <w:r>
              <w:rPr/>
              <w:t>78</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7.8</w:t>
            </w:r>
          </w:p>
        </w:tc>
        <w:tc>
          <w:tcPr>
            <w:tcW w:w="8577" w:type="dxa"/>
            <w:tcBorders/>
            <w:shd w:fill="FFFFFF" w:val="clear"/>
            <w:vAlign w:val="center"/>
          </w:tcPr>
          <w:p>
            <w:pPr>
              <w:pStyle w:val="TableContents"/>
              <w:bidi w:val="0"/>
              <w:spacing w:before="0" w:after="283"/>
              <w:jc w:val="left"/>
              <w:rPr/>
            </w:pPr>
            <w:r>
              <w:rPr/>
              <w:t>Tax Treatment of Indemnification Payments</w:t>
            </w:r>
          </w:p>
        </w:tc>
        <w:tc>
          <w:tcPr>
            <w:tcW w:w="276" w:type="dxa"/>
            <w:tcBorders/>
            <w:shd w:fill="FFFFFF" w:val="clear"/>
            <w:vAlign w:val="center"/>
          </w:tcPr>
          <w:p>
            <w:pPr>
              <w:pStyle w:val="TableContents"/>
              <w:bidi w:val="0"/>
              <w:spacing w:before="0" w:after="283"/>
              <w:jc w:val="center"/>
              <w:rPr/>
            </w:pPr>
            <w:r>
              <w:rPr/>
              <w:t>79</w:t>
            </w:r>
          </w:p>
        </w:tc>
      </w:tr>
      <w:tr>
        <w:trPr/>
        <w:tc>
          <w:tcPr>
            <w:tcW w:w="1352" w:type="dxa"/>
            <w:gridSpan w:val="2"/>
            <w:tcBorders/>
            <w:shd w:fill="CCEEFF" w:val="clear"/>
            <w:vAlign w:val="center"/>
          </w:tcPr>
          <w:p>
            <w:pPr>
              <w:pStyle w:val="TableContents"/>
              <w:bidi w:val="0"/>
              <w:spacing w:before="0" w:after="283"/>
              <w:jc w:val="left"/>
              <w:rPr/>
            </w:pPr>
            <w:r>
              <w:rPr/>
              <w:t>SECTION 8.</w:t>
            </w:r>
          </w:p>
        </w:tc>
        <w:tc>
          <w:tcPr>
            <w:tcW w:w="8577" w:type="dxa"/>
            <w:tcBorders/>
            <w:shd w:fill="CCEEFF" w:val="clear"/>
            <w:vAlign w:val="center"/>
          </w:tcPr>
          <w:p>
            <w:pPr>
              <w:pStyle w:val="TableContents"/>
              <w:bidi w:val="0"/>
              <w:spacing w:before="0" w:after="283"/>
              <w:jc w:val="left"/>
              <w:rPr/>
            </w:pPr>
            <w:r>
              <w:rPr/>
              <w:t>CONDITIONS PRECEDENT TO OBLIGATIONS OF EACH PARTY</w:t>
            </w:r>
          </w:p>
        </w:tc>
        <w:tc>
          <w:tcPr>
            <w:tcW w:w="276" w:type="dxa"/>
            <w:tcBorders/>
            <w:shd w:fill="CCEEFF" w:val="clear"/>
            <w:vAlign w:val="center"/>
          </w:tcPr>
          <w:p>
            <w:pPr>
              <w:pStyle w:val="TableContents"/>
              <w:bidi w:val="0"/>
              <w:spacing w:before="0" w:after="283"/>
              <w:jc w:val="center"/>
              <w:rPr/>
            </w:pPr>
            <w:r>
              <w:rPr/>
              <w:t>79</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8.1</w:t>
            </w:r>
          </w:p>
        </w:tc>
        <w:tc>
          <w:tcPr>
            <w:tcW w:w="8577" w:type="dxa"/>
            <w:tcBorders/>
            <w:shd w:fill="FFFFFF" w:val="clear"/>
            <w:vAlign w:val="center"/>
          </w:tcPr>
          <w:p>
            <w:pPr>
              <w:pStyle w:val="TableContents"/>
              <w:bidi w:val="0"/>
              <w:spacing w:before="0" w:after="283"/>
              <w:jc w:val="left"/>
              <w:rPr/>
            </w:pPr>
            <w:r>
              <w:rPr/>
              <w:t>Parent Shareholder Matters</w:t>
            </w:r>
          </w:p>
        </w:tc>
        <w:tc>
          <w:tcPr>
            <w:tcW w:w="276" w:type="dxa"/>
            <w:tcBorders/>
            <w:shd w:fill="FFFFFF" w:val="clear"/>
            <w:vAlign w:val="center"/>
          </w:tcPr>
          <w:p>
            <w:pPr>
              <w:pStyle w:val="TableContents"/>
              <w:bidi w:val="0"/>
              <w:spacing w:before="0" w:after="283"/>
              <w:jc w:val="center"/>
              <w:rPr/>
            </w:pPr>
            <w:r>
              <w:rPr/>
              <w:t>79</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8.2</w:t>
            </w:r>
          </w:p>
        </w:tc>
        <w:tc>
          <w:tcPr>
            <w:tcW w:w="8577" w:type="dxa"/>
            <w:tcBorders/>
            <w:shd w:fill="CCEEFF" w:val="clear"/>
            <w:vAlign w:val="center"/>
          </w:tcPr>
          <w:p>
            <w:pPr>
              <w:pStyle w:val="TableContents"/>
              <w:bidi w:val="0"/>
              <w:spacing w:before="0" w:after="283"/>
              <w:jc w:val="left"/>
              <w:rPr/>
            </w:pPr>
            <w:r>
              <w:rPr/>
              <w:t>No Restraints</w:t>
            </w:r>
          </w:p>
        </w:tc>
        <w:tc>
          <w:tcPr>
            <w:tcW w:w="276" w:type="dxa"/>
            <w:tcBorders/>
            <w:shd w:fill="CCEEFF" w:val="clear"/>
            <w:vAlign w:val="center"/>
          </w:tcPr>
          <w:p>
            <w:pPr>
              <w:pStyle w:val="TableContents"/>
              <w:bidi w:val="0"/>
              <w:spacing w:before="0" w:after="283"/>
              <w:jc w:val="center"/>
              <w:rPr/>
            </w:pPr>
            <w:r>
              <w:rPr/>
              <w:t>79</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8.3</w:t>
            </w:r>
          </w:p>
        </w:tc>
        <w:tc>
          <w:tcPr>
            <w:tcW w:w="8577" w:type="dxa"/>
            <w:tcBorders/>
            <w:shd w:fill="FFFFFF" w:val="clear"/>
            <w:vAlign w:val="center"/>
          </w:tcPr>
          <w:p>
            <w:pPr>
              <w:pStyle w:val="TableContents"/>
              <w:bidi w:val="0"/>
              <w:spacing w:before="0" w:after="283"/>
              <w:jc w:val="left"/>
              <w:rPr/>
            </w:pPr>
            <w:r>
              <w:rPr/>
              <w:t>Nasdaq Listing</w:t>
            </w:r>
          </w:p>
        </w:tc>
        <w:tc>
          <w:tcPr>
            <w:tcW w:w="276" w:type="dxa"/>
            <w:tcBorders/>
            <w:shd w:fill="FFFFFF" w:val="clear"/>
            <w:vAlign w:val="center"/>
          </w:tcPr>
          <w:p>
            <w:pPr>
              <w:pStyle w:val="TableContents"/>
              <w:bidi w:val="0"/>
              <w:spacing w:before="0" w:after="283"/>
              <w:jc w:val="center"/>
              <w:rPr/>
            </w:pPr>
            <w:r>
              <w:rPr/>
              <w:t>79</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8.4</w:t>
            </w:r>
          </w:p>
        </w:tc>
        <w:tc>
          <w:tcPr>
            <w:tcW w:w="8577" w:type="dxa"/>
            <w:tcBorders/>
            <w:shd w:fill="CCEEFF" w:val="clear"/>
            <w:vAlign w:val="center"/>
          </w:tcPr>
          <w:p>
            <w:pPr>
              <w:pStyle w:val="TableContents"/>
              <w:bidi w:val="0"/>
              <w:spacing w:before="0" w:after="283"/>
              <w:jc w:val="left"/>
              <w:rPr/>
            </w:pPr>
            <w:r>
              <w:rPr/>
              <w:t>PIPE Investment</w:t>
            </w:r>
          </w:p>
        </w:tc>
        <w:tc>
          <w:tcPr>
            <w:tcW w:w="276" w:type="dxa"/>
            <w:tcBorders/>
            <w:shd w:fill="CCEEFF" w:val="clear"/>
            <w:vAlign w:val="center"/>
          </w:tcPr>
          <w:p>
            <w:pPr>
              <w:pStyle w:val="TableContents"/>
              <w:bidi w:val="0"/>
              <w:spacing w:before="0" w:after="283"/>
              <w:jc w:val="center"/>
              <w:rPr/>
            </w:pPr>
            <w:r>
              <w:rPr/>
              <w:t>79</w:t>
            </w:r>
          </w:p>
        </w:tc>
      </w:tr>
      <w:tr>
        <w:trPr/>
        <w:tc>
          <w:tcPr>
            <w:tcW w:w="1352" w:type="dxa"/>
            <w:gridSpan w:val="2"/>
            <w:tcBorders/>
            <w:shd w:fill="FFFFFF" w:val="clear"/>
            <w:vAlign w:val="center"/>
          </w:tcPr>
          <w:p>
            <w:pPr>
              <w:pStyle w:val="TableContents"/>
              <w:bidi w:val="0"/>
              <w:spacing w:before="0" w:after="283"/>
              <w:jc w:val="left"/>
              <w:rPr/>
            </w:pPr>
            <w:r>
              <w:rPr/>
              <w:t>SECTION 9.</w:t>
            </w:r>
          </w:p>
        </w:tc>
        <w:tc>
          <w:tcPr>
            <w:tcW w:w="8577" w:type="dxa"/>
            <w:tcBorders/>
            <w:shd w:fill="FFFFFF" w:val="clear"/>
            <w:vAlign w:val="center"/>
          </w:tcPr>
          <w:p>
            <w:pPr>
              <w:pStyle w:val="TableContents"/>
              <w:bidi w:val="0"/>
              <w:spacing w:before="0" w:after="283"/>
              <w:jc w:val="left"/>
              <w:rPr/>
            </w:pPr>
            <w:r>
              <w:rPr/>
              <w:t>ADDITIONAL CONDITIONS PRECEDENT TO OBLIGATIONS OF PARENT AND MERGER SUB</w:t>
            </w:r>
          </w:p>
        </w:tc>
        <w:tc>
          <w:tcPr>
            <w:tcW w:w="276" w:type="dxa"/>
            <w:tcBorders/>
            <w:shd w:fill="FFFFFF" w:val="clear"/>
            <w:vAlign w:val="center"/>
          </w:tcPr>
          <w:p>
            <w:pPr>
              <w:pStyle w:val="TableContents"/>
              <w:bidi w:val="0"/>
              <w:spacing w:before="0" w:after="283"/>
              <w:jc w:val="center"/>
              <w:rPr/>
            </w:pPr>
            <w:r>
              <w:rPr/>
              <w:t>80</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9.1</w:t>
            </w:r>
          </w:p>
        </w:tc>
        <w:tc>
          <w:tcPr>
            <w:tcW w:w="8577" w:type="dxa"/>
            <w:tcBorders/>
            <w:shd w:fill="CCEEFF" w:val="clear"/>
            <w:vAlign w:val="center"/>
          </w:tcPr>
          <w:p>
            <w:pPr>
              <w:pStyle w:val="TableContents"/>
              <w:bidi w:val="0"/>
              <w:spacing w:before="0" w:after="283"/>
              <w:jc w:val="left"/>
              <w:rPr/>
            </w:pPr>
            <w:r>
              <w:rPr/>
              <w:t>Accuracy of Representations</w:t>
            </w:r>
          </w:p>
        </w:tc>
        <w:tc>
          <w:tcPr>
            <w:tcW w:w="276" w:type="dxa"/>
            <w:tcBorders/>
            <w:shd w:fill="CCEEFF" w:val="clear"/>
            <w:vAlign w:val="center"/>
          </w:tcPr>
          <w:p>
            <w:pPr>
              <w:pStyle w:val="TableContents"/>
              <w:bidi w:val="0"/>
              <w:spacing w:before="0" w:after="283"/>
              <w:jc w:val="center"/>
              <w:rPr/>
            </w:pPr>
            <w:r>
              <w:rPr/>
              <w:t>80</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9.2</w:t>
            </w:r>
          </w:p>
        </w:tc>
        <w:tc>
          <w:tcPr>
            <w:tcW w:w="8577" w:type="dxa"/>
            <w:tcBorders/>
            <w:shd w:fill="FFFFFF" w:val="clear"/>
            <w:vAlign w:val="center"/>
          </w:tcPr>
          <w:p>
            <w:pPr>
              <w:pStyle w:val="TableContents"/>
              <w:bidi w:val="0"/>
              <w:spacing w:before="0" w:after="283"/>
              <w:jc w:val="left"/>
              <w:rPr/>
            </w:pPr>
            <w:r>
              <w:rPr/>
              <w:t>Performance of Covenants</w:t>
            </w:r>
          </w:p>
        </w:tc>
        <w:tc>
          <w:tcPr>
            <w:tcW w:w="276" w:type="dxa"/>
            <w:tcBorders/>
            <w:shd w:fill="FFFFFF" w:val="clear"/>
            <w:vAlign w:val="center"/>
          </w:tcPr>
          <w:p>
            <w:pPr>
              <w:pStyle w:val="TableContents"/>
              <w:bidi w:val="0"/>
              <w:spacing w:before="0" w:after="283"/>
              <w:jc w:val="center"/>
              <w:rPr/>
            </w:pPr>
            <w:r>
              <w:rPr/>
              <w:t>80</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9.3</w:t>
            </w:r>
          </w:p>
        </w:tc>
        <w:tc>
          <w:tcPr>
            <w:tcW w:w="8577" w:type="dxa"/>
            <w:tcBorders/>
            <w:shd w:fill="CCEEFF" w:val="clear"/>
            <w:vAlign w:val="center"/>
          </w:tcPr>
          <w:p>
            <w:pPr>
              <w:pStyle w:val="TableContents"/>
              <w:bidi w:val="0"/>
              <w:spacing w:before="0" w:after="283"/>
              <w:jc w:val="left"/>
              <w:rPr/>
            </w:pPr>
            <w:r>
              <w:rPr/>
              <w:t>Documents</w:t>
            </w:r>
          </w:p>
        </w:tc>
        <w:tc>
          <w:tcPr>
            <w:tcW w:w="276" w:type="dxa"/>
            <w:tcBorders/>
            <w:shd w:fill="CCEEFF" w:val="clear"/>
            <w:vAlign w:val="center"/>
          </w:tcPr>
          <w:p>
            <w:pPr>
              <w:pStyle w:val="TableContents"/>
              <w:bidi w:val="0"/>
              <w:spacing w:before="0" w:after="283"/>
              <w:jc w:val="center"/>
              <w:rPr/>
            </w:pPr>
            <w:r>
              <w:rPr/>
              <w:t>81</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9.4</w:t>
            </w:r>
          </w:p>
        </w:tc>
        <w:tc>
          <w:tcPr>
            <w:tcW w:w="8577" w:type="dxa"/>
            <w:tcBorders/>
            <w:shd w:fill="FFFFFF" w:val="clear"/>
            <w:vAlign w:val="center"/>
          </w:tcPr>
          <w:p>
            <w:pPr>
              <w:pStyle w:val="TableContents"/>
              <w:bidi w:val="0"/>
              <w:spacing w:before="0" w:after="283"/>
              <w:jc w:val="left"/>
              <w:rPr/>
            </w:pPr>
            <w:r>
              <w:rPr/>
              <w:t>No Company Material Adverse Effect</w:t>
            </w:r>
          </w:p>
        </w:tc>
        <w:tc>
          <w:tcPr>
            <w:tcW w:w="276" w:type="dxa"/>
            <w:tcBorders/>
            <w:shd w:fill="FFFFFF" w:val="clear"/>
            <w:vAlign w:val="center"/>
          </w:tcPr>
          <w:p>
            <w:pPr>
              <w:pStyle w:val="TableContents"/>
              <w:bidi w:val="0"/>
              <w:spacing w:before="0" w:after="283"/>
              <w:jc w:val="center"/>
              <w:rPr/>
            </w:pPr>
            <w:r>
              <w:rPr/>
              <w:t>82</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9.5</w:t>
            </w:r>
          </w:p>
        </w:tc>
        <w:tc>
          <w:tcPr>
            <w:tcW w:w="8577" w:type="dxa"/>
            <w:tcBorders/>
            <w:shd w:fill="CCEEFF" w:val="clear"/>
            <w:vAlign w:val="center"/>
          </w:tcPr>
          <w:p>
            <w:pPr>
              <w:pStyle w:val="TableContents"/>
              <w:bidi w:val="0"/>
              <w:spacing w:before="0" w:after="283"/>
              <w:jc w:val="left"/>
              <w:rPr/>
            </w:pPr>
            <w:r>
              <w:rPr/>
              <w:t>Termination of Certain Agreements</w:t>
            </w:r>
          </w:p>
        </w:tc>
        <w:tc>
          <w:tcPr>
            <w:tcW w:w="276" w:type="dxa"/>
            <w:tcBorders/>
            <w:shd w:fill="CCEEFF" w:val="clear"/>
            <w:vAlign w:val="center"/>
          </w:tcPr>
          <w:p>
            <w:pPr>
              <w:pStyle w:val="TableContents"/>
              <w:bidi w:val="0"/>
              <w:spacing w:before="0" w:after="283"/>
              <w:jc w:val="center"/>
              <w:rPr/>
            </w:pPr>
            <w:r>
              <w:rPr/>
              <w:t>82</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9.6</w:t>
            </w:r>
          </w:p>
        </w:tc>
        <w:tc>
          <w:tcPr>
            <w:tcW w:w="8577" w:type="dxa"/>
            <w:tcBorders/>
            <w:shd w:fill="FFFFFF" w:val="clear"/>
            <w:vAlign w:val="center"/>
          </w:tcPr>
          <w:p>
            <w:pPr>
              <w:pStyle w:val="TableContents"/>
              <w:bidi w:val="0"/>
              <w:spacing w:before="0" w:after="283"/>
              <w:jc w:val="left"/>
              <w:rPr/>
            </w:pPr>
            <w:r>
              <w:rPr/>
              <w:t>SAFE Satisfaction</w:t>
            </w:r>
          </w:p>
        </w:tc>
        <w:tc>
          <w:tcPr>
            <w:tcW w:w="276" w:type="dxa"/>
            <w:tcBorders/>
            <w:shd w:fill="FFFFFF" w:val="clear"/>
            <w:vAlign w:val="center"/>
          </w:tcPr>
          <w:p>
            <w:pPr>
              <w:pStyle w:val="TableContents"/>
              <w:bidi w:val="0"/>
              <w:spacing w:before="0" w:after="283"/>
              <w:jc w:val="center"/>
              <w:rPr/>
            </w:pPr>
            <w:r>
              <w:rPr/>
              <w:t>82</w:t>
            </w:r>
          </w:p>
        </w:tc>
      </w:tr>
      <w:tr>
        <w:trPr/>
        <w:tc>
          <w:tcPr>
            <w:tcW w:w="1352" w:type="dxa"/>
            <w:gridSpan w:val="2"/>
            <w:tcBorders/>
            <w:shd w:fill="CCEEFF" w:val="clear"/>
            <w:vAlign w:val="center"/>
          </w:tcPr>
          <w:p>
            <w:pPr>
              <w:pStyle w:val="TableContents"/>
              <w:bidi w:val="0"/>
              <w:spacing w:before="0" w:after="283"/>
              <w:jc w:val="left"/>
              <w:rPr/>
            </w:pPr>
            <w:r>
              <w:rPr/>
              <w:t>SECTION 10.</w:t>
            </w:r>
          </w:p>
        </w:tc>
        <w:tc>
          <w:tcPr>
            <w:tcW w:w="8577" w:type="dxa"/>
            <w:tcBorders/>
            <w:shd w:fill="CCEEFF" w:val="clear"/>
            <w:vAlign w:val="center"/>
          </w:tcPr>
          <w:p>
            <w:pPr>
              <w:pStyle w:val="TableContents"/>
              <w:bidi w:val="0"/>
              <w:spacing w:before="0" w:after="283"/>
              <w:jc w:val="left"/>
              <w:rPr/>
            </w:pPr>
            <w:r>
              <w:rPr/>
              <w:t>ADDITIONAL CONDITIONS PRECEDENT TO OBLIGATIONS OF THE COMPANY</w:t>
            </w:r>
          </w:p>
        </w:tc>
        <w:tc>
          <w:tcPr>
            <w:tcW w:w="276" w:type="dxa"/>
            <w:tcBorders/>
            <w:shd w:fill="CCEEFF" w:val="clear"/>
            <w:vAlign w:val="center"/>
          </w:tcPr>
          <w:p>
            <w:pPr>
              <w:pStyle w:val="TableContents"/>
              <w:bidi w:val="0"/>
              <w:spacing w:before="0" w:after="283"/>
              <w:jc w:val="center"/>
              <w:rPr/>
            </w:pPr>
            <w:r>
              <w:rPr/>
              <w:t>82</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10.1</w:t>
            </w:r>
          </w:p>
        </w:tc>
        <w:tc>
          <w:tcPr>
            <w:tcW w:w="8577" w:type="dxa"/>
            <w:tcBorders/>
            <w:shd w:fill="FFFFFF" w:val="clear"/>
            <w:vAlign w:val="center"/>
          </w:tcPr>
          <w:p>
            <w:pPr>
              <w:pStyle w:val="TableContents"/>
              <w:bidi w:val="0"/>
              <w:spacing w:before="0" w:after="283"/>
              <w:jc w:val="left"/>
              <w:rPr/>
            </w:pPr>
            <w:r>
              <w:rPr/>
              <w:t>Accuracy of Representations</w:t>
            </w:r>
          </w:p>
        </w:tc>
        <w:tc>
          <w:tcPr>
            <w:tcW w:w="276" w:type="dxa"/>
            <w:tcBorders/>
            <w:shd w:fill="FFFFFF" w:val="clear"/>
            <w:vAlign w:val="center"/>
          </w:tcPr>
          <w:p>
            <w:pPr>
              <w:pStyle w:val="TableContents"/>
              <w:bidi w:val="0"/>
              <w:spacing w:before="0" w:after="283"/>
              <w:jc w:val="center"/>
              <w:rPr/>
            </w:pPr>
            <w:r>
              <w:rPr/>
              <w:t>82</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10.2</w:t>
            </w:r>
          </w:p>
        </w:tc>
        <w:tc>
          <w:tcPr>
            <w:tcW w:w="8577" w:type="dxa"/>
            <w:tcBorders/>
            <w:shd w:fill="CCEEFF" w:val="clear"/>
            <w:vAlign w:val="center"/>
          </w:tcPr>
          <w:p>
            <w:pPr>
              <w:pStyle w:val="TableContents"/>
              <w:bidi w:val="0"/>
              <w:spacing w:before="0" w:after="283"/>
              <w:jc w:val="left"/>
              <w:rPr/>
            </w:pPr>
            <w:r>
              <w:rPr/>
              <w:t>Performance of Covenants</w:t>
            </w:r>
          </w:p>
        </w:tc>
        <w:tc>
          <w:tcPr>
            <w:tcW w:w="276" w:type="dxa"/>
            <w:tcBorders/>
            <w:shd w:fill="CCEEFF" w:val="clear"/>
            <w:vAlign w:val="center"/>
          </w:tcPr>
          <w:p>
            <w:pPr>
              <w:pStyle w:val="TableContents"/>
              <w:bidi w:val="0"/>
              <w:spacing w:before="0" w:after="283"/>
              <w:jc w:val="center"/>
              <w:rPr/>
            </w:pPr>
            <w:r>
              <w:rPr/>
              <w:t>82</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10.3</w:t>
            </w:r>
          </w:p>
        </w:tc>
        <w:tc>
          <w:tcPr>
            <w:tcW w:w="8577" w:type="dxa"/>
            <w:tcBorders/>
            <w:shd w:fill="FFFFFF" w:val="clear"/>
            <w:vAlign w:val="center"/>
          </w:tcPr>
          <w:p>
            <w:pPr>
              <w:pStyle w:val="TableContents"/>
              <w:bidi w:val="0"/>
              <w:spacing w:before="0" w:after="283"/>
              <w:jc w:val="left"/>
              <w:rPr/>
            </w:pPr>
            <w:r>
              <w:rPr/>
              <w:t>Documents</w:t>
            </w:r>
          </w:p>
        </w:tc>
        <w:tc>
          <w:tcPr>
            <w:tcW w:w="276" w:type="dxa"/>
            <w:tcBorders/>
            <w:shd w:fill="FFFFFF" w:val="clear"/>
            <w:vAlign w:val="center"/>
          </w:tcPr>
          <w:p>
            <w:pPr>
              <w:pStyle w:val="TableContents"/>
              <w:bidi w:val="0"/>
              <w:spacing w:before="0" w:after="283"/>
              <w:jc w:val="center"/>
              <w:rPr/>
            </w:pPr>
            <w:r>
              <w:rPr/>
              <w:t>83</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10.4</w:t>
            </w:r>
          </w:p>
        </w:tc>
        <w:tc>
          <w:tcPr>
            <w:tcW w:w="8577" w:type="dxa"/>
            <w:tcBorders/>
            <w:shd w:fill="CCEEFF" w:val="clear"/>
            <w:vAlign w:val="center"/>
          </w:tcPr>
          <w:p>
            <w:pPr>
              <w:pStyle w:val="TableContents"/>
              <w:bidi w:val="0"/>
              <w:spacing w:before="0" w:after="283"/>
              <w:jc w:val="left"/>
              <w:rPr/>
            </w:pPr>
            <w:r>
              <w:rPr/>
              <w:t>No Parent Material Adverse Effect</w:t>
            </w:r>
          </w:p>
        </w:tc>
        <w:tc>
          <w:tcPr>
            <w:tcW w:w="276" w:type="dxa"/>
            <w:tcBorders/>
            <w:shd w:fill="CCEEFF" w:val="clear"/>
            <w:vAlign w:val="center"/>
          </w:tcPr>
          <w:p>
            <w:pPr>
              <w:pStyle w:val="TableContents"/>
              <w:bidi w:val="0"/>
              <w:spacing w:before="0" w:after="283"/>
              <w:jc w:val="center"/>
              <w:rPr/>
            </w:pPr>
            <w:r>
              <w:rPr/>
              <w:t>84</w:t>
            </w:r>
          </w:p>
        </w:tc>
      </w:tr>
      <w:tr>
        <w:trPr/>
        <w:tc>
          <w:tcPr>
            <w:tcW w:w="195"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left"/>
              <w:rPr/>
            </w:pPr>
            <w:r>
              <w:rPr/>
              <w:t>10.5</w:t>
            </w:r>
          </w:p>
        </w:tc>
        <w:tc>
          <w:tcPr>
            <w:tcW w:w="8577" w:type="dxa"/>
            <w:tcBorders/>
            <w:shd w:fill="FFFFFF" w:val="clear"/>
            <w:vAlign w:val="center"/>
          </w:tcPr>
          <w:p>
            <w:pPr>
              <w:pStyle w:val="TableContents"/>
              <w:bidi w:val="0"/>
              <w:spacing w:before="0" w:after="283"/>
              <w:jc w:val="left"/>
              <w:rPr/>
            </w:pPr>
            <w:r>
              <w:rPr/>
              <w:t>Minimum Cash</w:t>
            </w:r>
          </w:p>
        </w:tc>
        <w:tc>
          <w:tcPr>
            <w:tcW w:w="276" w:type="dxa"/>
            <w:tcBorders/>
            <w:shd w:fill="FFFFFF" w:val="clear"/>
            <w:vAlign w:val="center"/>
          </w:tcPr>
          <w:p>
            <w:pPr>
              <w:pStyle w:val="TableContents"/>
              <w:bidi w:val="0"/>
              <w:spacing w:before="0" w:after="283"/>
              <w:jc w:val="center"/>
              <w:rPr/>
            </w:pPr>
            <w:r>
              <w:rPr/>
              <w:t>84</w:t>
            </w:r>
          </w:p>
        </w:tc>
      </w:tr>
      <w:tr>
        <w:trPr/>
        <w:tc>
          <w:tcPr>
            <w:tcW w:w="195"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10.6</w:t>
            </w:r>
          </w:p>
        </w:tc>
        <w:tc>
          <w:tcPr>
            <w:tcW w:w="8577" w:type="dxa"/>
            <w:tcBorders/>
            <w:shd w:fill="CCEEFF" w:val="clear"/>
            <w:vAlign w:val="center"/>
          </w:tcPr>
          <w:p>
            <w:pPr>
              <w:pStyle w:val="TableContents"/>
              <w:bidi w:val="0"/>
              <w:spacing w:before="0" w:after="283"/>
              <w:jc w:val="left"/>
              <w:rPr/>
            </w:pPr>
            <w:r>
              <w:rPr/>
              <w:t>Conversion of Class B Ordinary Shares</w:t>
            </w:r>
          </w:p>
        </w:tc>
        <w:tc>
          <w:tcPr>
            <w:tcW w:w="276" w:type="dxa"/>
            <w:tcBorders/>
            <w:shd w:fill="CCEEFF" w:val="clear"/>
            <w:vAlign w:val="center"/>
          </w:tcPr>
          <w:p>
            <w:pPr>
              <w:pStyle w:val="TableContents"/>
              <w:bidi w:val="0"/>
              <w:spacing w:before="0" w:after="283"/>
              <w:jc w:val="center"/>
              <w:rPr/>
            </w:pPr>
            <w:r>
              <w:rPr/>
              <w:t>84</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34" w:type="dxa"/>
        <w:jc w:val="left"/>
        <w:tblInd w:w="0" w:type="dxa"/>
        <w:tblLayout w:type="fixed"/>
        <w:tblCellMar>
          <w:top w:w="0" w:type="dxa"/>
          <w:left w:w="0" w:type="dxa"/>
          <w:bottom w:w="0" w:type="dxa"/>
          <w:right w:w="0" w:type="dxa"/>
        </w:tblCellMar>
      </w:tblPr>
      <w:tblGrid>
        <w:gridCol w:w="168"/>
        <w:gridCol w:w="1261"/>
        <w:gridCol w:w="6830"/>
        <w:gridCol w:w="275"/>
      </w:tblGrid>
      <w:tr>
        <w:trPr/>
        <w:tc>
          <w:tcPr>
            <w:tcW w:w="1429" w:type="dxa"/>
            <w:gridSpan w:val="2"/>
            <w:tcBorders/>
            <w:shd w:fill="CCEEFF" w:val="clear"/>
            <w:vAlign w:val="center"/>
          </w:tcPr>
          <w:p>
            <w:pPr>
              <w:pStyle w:val="TableContents"/>
              <w:bidi w:val="0"/>
              <w:spacing w:before="0" w:after="283"/>
              <w:jc w:val="left"/>
              <w:rPr/>
            </w:pPr>
            <w:r>
              <w:rPr/>
              <w:t>SECTION 11.</w:t>
            </w:r>
          </w:p>
        </w:tc>
        <w:tc>
          <w:tcPr>
            <w:tcW w:w="6830" w:type="dxa"/>
            <w:tcBorders/>
            <w:shd w:fill="CCEEFF" w:val="clear"/>
            <w:vAlign w:val="center"/>
          </w:tcPr>
          <w:p>
            <w:pPr>
              <w:pStyle w:val="TableContents"/>
              <w:bidi w:val="0"/>
              <w:spacing w:before="0" w:after="283"/>
              <w:jc w:val="left"/>
              <w:rPr/>
            </w:pPr>
            <w:r>
              <w:rPr/>
              <w:t>TERMINATION</w:t>
            </w:r>
          </w:p>
        </w:tc>
        <w:tc>
          <w:tcPr>
            <w:tcW w:w="275" w:type="dxa"/>
            <w:tcBorders/>
            <w:shd w:fill="CCEEFF" w:val="clear"/>
            <w:vAlign w:val="center"/>
          </w:tcPr>
          <w:p>
            <w:pPr>
              <w:pStyle w:val="TableContents"/>
              <w:bidi w:val="0"/>
              <w:spacing w:before="0" w:after="283"/>
              <w:jc w:val="center"/>
              <w:rPr/>
            </w:pPr>
            <w:r>
              <w:rPr/>
              <w:t>85</w:t>
            </w:r>
          </w:p>
        </w:tc>
      </w:tr>
      <w:tr>
        <w:trPr/>
        <w:tc>
          <w:tcPr>
            <w:tcW w:w="16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11.1</w:t>
            </w:r>
          </w:p>
        </w:tc>
        <w:tc>
          <w:tcPr>
            <w:tcW w:w="6830" w:type="dxa"/>
            <w:tcBorders/>
            <w:shd w:fill="FFFFFF" w:val="clear"/>
            <w:vAlign w:val="center"/>
          </w:tcPr>
          <w:p>
            <w:pPr>
              <w:pStyle w:val="TableContents"/>
              <w:bidi w:val="0"/>
              <w:spacing w:before="0" w:after="283"/>
              <w:jc w:val="left"/>
              <w:rPr/>
            </w:pPr>
            <w:r>
              <w:rPr/>
              <w:t>Termination</w:t>
            </w:r>
          </w:p>
        </w:tc>
        <w:tc>
          <w:tcPr>
            <w:tcW w:w="275" w:type="dxa"/>
            <w:tcBorders/>
            <w:shd w:fill="FFFFFF" w:val="clear"/>
            <w:vAlign w:val="center"/>
          </w:tcPr>
          <w:p>
            <w:pPr>
              <w:pStyle w:val="TableContents"/>
              <w:bidi w:val="0"/>
              <w:spacing w:before="0" w:after="283"/>
              <w:jc w:val="center"/>
              <w:rPr/>
            </w:pPr>
            <w:r>
              <w:rPr/>
              <w:t>85</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11.2</w:t>
            </w:r>
          </w:p>
        </w:tc>
        <w:tc>
          <w:tcPr>
            <w:tcW w:w="6830" w:type="dxa"/>
            <w:tcBorders/>
            <w:shd w:fill="CCEEFF" w:val="clear"/>
            <w:vAlign w:val="center"/>
          </w:tcPr>
          <w:p>
            <w:pPr>
              <w:pStyle w:val="TableContents"/>
              <w:bidi w:val="0"/>
              <w:spacing w:before="0" w:after="283"/>
              <w:jc w:val="left"/>
              <w:rPr/>
            </w:pPr>
            <w:r>
              <w:rPr/>
              <w:t>Effect of Termination</w:t>
            </w:r>
          </w:p>
        </w:tc>
        <w:tc>
          <w:tcPr>
            <w:tcW w:w="275" w:type="dxa"/>
            <w:tcBorders/>
            <w:shd w:fill="CCEEFF" w:val="clear"/>
            <w:vAlign w:val="center"/>
          </w:tcPr>
          <w:p>
            <w:pPr>
              <w:pStyle w:val="TableContents"/>
              <w:bidi w:val="0"/>
              <w:spacing w:before="0" w:after="283"/>
              <w:jc w:val="center"/>
              <w:rPr/>
            </w:pPr>
            <w:r>
              <w:rPr/>
              <w:t>86</w:t>
            </w:r>
          </w:p>
        </w:tc>
      </w:tr>
      <w:tr>
        <w:trPr/>
        <w:tc>
          <w:tcPr>
            <w:tcW w:w="1429" w:type="dxa"/>
            <w:gridSpan w:val="2"/>
            <w:tcBorders/>
            <w:shd w:fill="FFFFFF" w:val="clear"/>
            <w:vAlign w:val="center"/>
          </w:tcPr>
          <w:p>
            <w:pPr>
              <w:pStyle w:val="TableContents"/>
              <w:bidi w:val="0"/>
              <w:spacing w:before="0" w:after="283"/>
              <w:jc w:val="left"/>
              <w:rPr/>
            </w:pPr>
            <w:r>
              <w:rPr/>
              <w:t>SECTION 12.</w:t>
            </w:r>
          </w:p>
        </w:tc>
        <w:tc>
          <w:tcPr>
            <w:tcW w:w="6830" w:type="dxa"/>
            <w:tcBorders/>
            <w:shd w:fill="FFFFFF" w:val="clear"/>
            <w:vAlign w:val="center"/>
          </w:tcPr>
          <w:p>
            <w:pPr>
              <w:pStyle w:val="TableContents"/>
              <w:bidi w:val="0"/>
              <w:spacing w:before="0" w:after="283"/>
              <w:jc w:val="left"/>
              <w:rPr/>
            </w:pPr>
            <w:r>
              <w:rPr/>
              <w:t>MISCELLANEOUS PROVISIONS</w:t>
            </w:r>
          </w:p>
        </w:tc>
        <w:tc>
          <w:tcPr>
            <w:tcW w:w="275" w:type="dxa"/>
            <w:tcBorders/>
            <w:shd w:fill="FFFFFF" w:val="clear"/>
            <w:vAlign w:val="center"/>
          </w:tcPr>
          <w:p>
            <w:pPr>
              <w:pStyle w:val="TableContents"/>
              <w:bidi w:val="0"/>
              <w:spacing w:before="0" w:after="283"/>
              <w:jc w:val="center"/>
              <w:rPr/>
            </w:pPr>
            <w:r>
              <w:rPr/>
              <w:t>86</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12.1</w:t>
            </w:r>
          </w:p>
        </w:tc>
        <w:tc>
          <w:tcPr>
            <w:tcW w:w="6830" w:type="dxa"/>
            <w:tcBorders/>
            <w:shd w:fill="CCEEFF" w:val="clear"/>
            <w:vAlign w:val="center"/>
          </w:tcPr>
          <w:p>
            <w:pPr>
              <w:pStyle w:val="TableContents"/>
              <w:bidi w:val="0"/>
              <w:spacing w:before="0" w:after="283"/>
              <w:jc w:val="left"/>
              <w:rPr/>
            </w:pPr>
            <w:r>
              <w:rPr/>
              <w:t>Amendment</w:t>
            </w:r>
          </w:p>
        </w:tc>
        <w:tc>
          <w:tcPr>
            <w:tcW w:w="275" w:type="dxa"/>
            <w:tcBorders/>
            <w:shd w:fill="CCEEFF" w:val="clear"/>
            <w:vAlign w:val="center"/>
          </w:tcPr>
          <w:p>
            <w:pPr>
              <w:pStyle w:val="TableContents"/>
              <w:bidi w:val="0"/>
              <w:spacing w:before="0" w:after="283"/>
              <w:jc w:val="center"/>
              <w:rPr/>
            </w:pPr>
            <w:r>
              <w:rPr/>
              <w:t>86</w:t>
            </w:r>
          </w:p>
        </w:tc>
      </w:tr>
      <w:tr>
        <w:trPr/>
        <w:tc>
          <w:tcPr>
            <w:tcW w:w="16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12.2</w:t>
            </w:r>
          </w:p>
        </w:tc>
        <w:tc>
          <w:tcPr>
            <w:tcW w:w="6830" w:type="dxa"/>
            <w:tcBorders/>
            <w:shd w:fill="FFFFFF" w:val="clear"/>
            <w:vAlign w:val="center"/>
          </w:tcPr>
          <w:p>
            <w:pPr>
              <w:pStyle w:val="TableContents"/>
              <w:bidi w:val="0"/>
              <w:spacing w:before="0" w:after="283"/>
              <w:jc w:val="left"/>
              <w:rPr/>
            </w:pPr>
            <w:r>
              <w:rPr/>
              <w:t>Waiver</w:t>
            </w:r>
          </w:p>
        </w:tc>
        <w:tc>
          <w:tcPr>
            <w:tcW w:w="275" w:type="dxa"/>
            <w:tcBorders/>
            <w:shd w:fill="FFFFFF" w:val="clear"/>
            <w:vAlign w:val="center"/>
          </w:tcPr>
          <w:p>
            <w:pPr>
              <w:pStyle w:val="TableContents"/>
              <w:bidi w:val="0"/>
              <w:spacing w:before="0" w:after="283"/>
              <w:jc w:val="center"/>
              <w:rPr/>
            </w:pPr>
            <w:r>
              <w:rPr/>
              <w:t>87</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12.3</w:t>
            </w:r>
          </w:p>
        </w:tc>
        <w:tc>
          <w:tcPr>
            <w:tcW w:w="6830" w:type="dxa"/>
            <w:tcBorders/>
            <w:shd w:fill="CCEEFF" w:val="clear"/>
            <w:vAlign w:val="center"/>
          </w:tcPr>
          <w:p>
            <w:pPr>
              <w:pStyle w:val="TableContents"/>
              <w:bidi w:val="0"/>
              <w:spacing w:before="0" w:after="283"/>
              <w:jc w:val="left"/>
              <w:rPr/>
            </w:pPr>
            <w:r>
              <w:rPr/>
              <w:t>Entire Agreement; Counterparts; Exchanges by Electronic Transmission</w:t>
            </w:r>
          </w:p>
        </w:tc>
        <w:tc>
          <w:tcPr>
            <w:tcW w:w="275" w:type="dxa"/>
            <w:tcBorders/>
            <w:shd w:fill="CCEEFF" w:val="clear"/>
            <w:vAlign w:val="center"/>
          </w:tcPr>
          <w:p>
            <w:pPr>
              <w:pStyle w:val="TableContents"/>
              <w:bidi w:val="0"/>
              <w:spacing w:before="0" w:after="283"/>
              <w:jc w:val="center"/>
              <w:rPr/>
            </w:pPr>
            <w:r>
              <w:rPr/>
              <w:t>87</w:t>
            </w:r>
          </w:p>
        </w:tc>
      </w:tr>
      <w:tr>
        <w:trPr/>
        <w:tc>
          <w:tcPr>
            <w:tcW w:w="16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12.4</w:t>
            </w:r>
          </w:p>
        </w:tc>
        <w:tc>
          <w:tcPr>
            <w:tcW w:w="6830" w:type="dxa"/>
            <w:tcBorders/>
            <w:shd w:fill="FFFFFF" w:val="clear"/>
            <w:vAlign w:val="center"/>
          </w:tcPr>
          <w:p>
            <w:pPr>
              <w:pStyle w:val="TableContents"/>
              <w:bidi w:val="0"/>
              <w:spacing w:before="0" w:after="283"/>
              <w:jc w:val="left"/>
              <w:rPr/>
            </w:pPr>
            <w:r>
              <w:rPr/>
              <w:t>Applicable Law; Jurisdiction; Arbitration</w:t>
            </w:r>
          </w:p>
        </w:tc>
        <w:tc>
          <w:tcPr>
            <w:tcW w:w="275" w:type="dxa"/>
            <w:tcBorders/>
            <w:shd w:fill="FFFFFF" w:val="clear"/>
            <w:vAlign w:val="center"/>
          </w:tcPr>
          <w:p>
            <w:pPr>
              <w:pStyle w:val="TableContents"/>
              <w:bidi w:val="0"/>
              <w:spacing w:before="0" w:after="283"/>
              <w:jc w:val="center"/>
              <w:rPr/>
            </w:pPr>
            <w:r>
              <w:rPr/>
              <w:t>87</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12.5</w:t>
            </w:r>
          </w:p>
        </w:tc>
        <w:tc>
          <w:tcPr>
            <w:tcW w:w="6830" w:type="dxa"/>
            <w:tcBorders/>
            <w:shd w:fill="CCEEFF" w:val="clear"/>
            <w:vAlign w:val="center"/>
          </w:tcPr>
          <w:p>
            <w:pPr>
              <w:pStyle w:val="TableContents"/>
              <w:bidi w:val="0"/>
              <w:spacing w:before="0" w:after="283"/>
              <w:jc w:val="left"/>
              <w:rPr/>
            </w:pPr>
            <w:r>
              <w:rPr/>
              <w:t>Assignability</w:t>
            </w:r>
          </w:p>
        </w:tc>
        <w:tc>
          <w:tcPr>
            <w:tcW w:w="275" w:type="dxa"/>
            <w:tcBorders/>
            <w:shd w:fill="CCEEFF" w:val="clear"/>
            <w:vAlign w:val="center"/>
          </w:tcPr>
          <w:p>
            <w:pPr>
              <w:pStyle w:val="TableContents"/>
              <w:bidi w:val="0"/>
              <w:spacing w:before="0" w:after="283"/>
              <w:jc w:val="center"/>
              <w:rPr/>
            </w:pPr>
            <w:r>
              <w:rPr/>
              <w:t>88</w:t>
            </w:r>
          </w:p>
        </w:tc>
      </w:tr>
      <w:tr>
        <w:trPr/>
        <w:tc>
          <w:tcPr>
            <w:tcW w:w="16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12.6</w:t>
            </w:r>
          </w:p>
        </w:tc>
        <w:tc>
          <w:tcPr>
            <w:tcW w:w="6830" w:type="dxa"/>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center"/>
              <w:rPr/>
            </w:pPr>
            <w:r>
              <w:rPr/>
              <w:t>88</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12.7</w:t>
            </w:r>
          </w:p>
        </w:tc>
        <w:tc>
          <w:tcPr>
            <w:tcW w:w="6830" w:type="dxa"/>
            <w:tcBorders/>
            <w:shd w:fill="CCEEFF" w:val="clear"/>
            <w:vAlign w:val="center"/>
          </w:tcPr>
          <w:p>
            <w:pPr>
              <w:pStyle w:val="TableContents"/>
              <w:bidi w:val="0"/>
              <w:spacing w:before="0" w:after="283"/>
              <w:jc w:val="left"/>
              <w:rPr/>
            </w:pPr>
            <w:r>
              <w:rPr/>
              <w:t>Cooperation</w:t>
            </w:r>
          </w:p>
        </w:tc>
        <w:tc>
          <w:tcPr>
            <w:tcW w:w="275" w:type="dxa"/>
            <w:tcBorders/>
            <w:shd w:fill="CCEEFF" w:val="clear"/>
            <w:vAlign w:val="center"/>
          </w:tcPr>
          <w:p>
            <w:pPr>
              <w:pStyle w:val="TableContents"/>
              <w:bidi w:val="0"/>
              <w:spacing w:before="0" w:after="283"/>
              <w:jc w:val="center"/>
              <w:rPr/>
            </w:pPr>
            <w:r>
              <w:rPr/>
              <w:t>89</w:t>
            </w:r>
          </w:p>
        </w:tc>
      </w:tr>
      <w:tr>
        <w:trPr/>
        <w:tc>
          <w:tcPr>
            <w:tcW w:w="16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12.8</w:t>
            </w:r>
          </w:p>
        </w:tc>
        <w:tc>
          <w:tcPr>
            <w:tcW w:w="6830" w:type="dxa"/>
            <w:tcBorders/>
            <w:shd w:fill="FFFFFF" w:val="clear"/>
            <w:vAlign w:val="center"/>
          </w:tcPr>
          <w:p>
            <w:pPr>
              <w:pStyle w:val="TableContents"/>
              <w:bidi w:val="0"/>
              <w:spacing w:before="0" w:after="283"/>
              <w:jc w:val="left"/>
              <w:rPr/>
            </w:pPr>
            <w:r>
              <w:rPr/>
              <w:t>Severability</w:t>
            </w:r>
          </w:p>
        </w:tc>
        <w:tc>
          <w:tcPr>
            <w:tcW w:w="275" w:type="dxa"/>
            <w:tcBorders/>
            <w:shd w:fill="FFFFFF" w:val="clear"/>
            <w:vAlign w:val="center"/>
          </w:tcPr>
          <w:p>
            <w:pPr>
              <w:pStyle w:val="TableContents"/>
              <w:bidi w:val="0"/>
              <w:spacing w:before="0" w:after="283"/>
              <w:jc w:val="center"/>
              <w:rPr/>
            </w:pPr>
            <w:r>
              <w:rPr/>
              <w:t>89</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12.9</w:t>
            </w:r>
          </w:p>
        </w:tc>
        <w:tc>
          <w:tcPr>
            <w:tcW w:w="6830" w:type="dxa"/>
            <w:tcBorders/>
            <w:shd w:fill="CCEEFF" w:val="clear"/>
            <w:vAlign w:val="center"/>
          </w:tcPr>
          <w:p>
            <w:pPr>
              <w:pStyle w:val="TableContents"/>
              <w:bidi w:val="0"/>
              <w:spacing w:before="0" w:after="283"/>
              <w:jc w:val="left"/>
              <w:rPr/>
            </w:pPr>
            <w:r>
              <w:rPr/>
              <w:t>Other Remedies; Specific Performance</w:t>
            </w:r>
          </w:p>
        </w:tc>
        <w:tc>
          <w:tcPr>
            <w:tcW w:w="275" w:type="dxa"/>
            <w:tcBorders/>
            <w:shd w:fill="CCEEFF" w:val="clear"/>
            <w:vAlign w:val="center"/>
          </w:tcPr>
          <w:p>
            <w:pPr>
              <w:pStyle w:val="TableContents"/>
              <w:bidi w:val="0"/>
              <w:spacing w:before="0" w:after="283"/>
              <w:jc w:val="center"/>
              <w:rPr/>
            </w:pPr>
            <w:r>
              <w:rPr/>
              <w:t>89</w:t>
            </w:r>
          </w:p>
        </w:tc>
      </w:tr>
      <w:tr>
        <w:trPr/>
        <w:tc>
          <w:tcPr>
            <w:tcW w:w="16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12.10</w:t>
            </w:r>
          </w:p>
        </w:tc>
        <w:tc>
          <w:tcPr>
            <w:tcW w:w="6830" w:type="dxa"/>
            <w:tcBorders/>
            <w:shd w:fill="FFFFFF" w:val="clear"/>
            <w:vAlign w:val="center"/>
          </w:tcPr>
          <w:p>
            <w:pPr>
              <w:pStyle w:val="TableContents"/>
              <w:bidi w:val="0"/>
              <w:spacing w:before="0" w:after="283"/>
              <w:jc w:val="left"/>
              <w:rPr/>
            </w:pPr>
            <w:r>
              <w:rPr/>
              <w:t>No Third-Party Beneficiaries</w:t>
            </w:r>
          </w:p>
        </w:tc>
        <w:tc>
          <w:tcPr>
            <w:tcW w:w="275" w:type="dxa"/>
            <w:tcBorders/>
            <w:shd w:fill="FFFFFF" w:val="clear"/>
            <w:vAlign w:val="center"/>
          </w:tcPr>
          <w:p>
            <w:pPr>
              <w:pStyle w:val="TableContents"/>
              <w:bidi w:val="0"/>
              <w:spacing w:before="0" w:after="283"/>
              <w:jc w:val="center"/>
              <w:rPr/>
            </w:pPr>
            <w:r>
              <w:rPr/>
              <w:t>90</w:t>
            </w:r>
          </w:p>
        </w:tc>
      </w:tr>
      <w:tr>
        <w:trPr/>
        <w:tc>
          <w:tcPr>
            <w:tcW w:w="16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12.11</w:t>
            </w:r>
          </w:p>
        </w:tc>
        <w:tc>
          <w:tcPr>
            <w:tcW w:w="6830" w:type="dxa"/>
            <w:tcBorders/>
            <w:shd w:fill="CCEEFF" w:val="clear"/>
            <w:vAlign w:val="center"/>
          </w:tcPr>
          <w:p>
            <w:pPr>
              <w:pStyle w:val="TableContents"/>
              <w:bidi w:val="0"/>
              <w:spacing w:before="0" w:after="283"/>
              <w:jc w:val="left"/>
              <w:rPr/>
            </w:pPr>
            <w:r>
              <w:rPr/>
              <w:t>Construction</w:t>
            </w:r>
          </w:p>
        </w:tc>
        <w:tc>
          <w:tcPr>
            <w:tcW w:w="275" w:type="dxa"/>
            <w:tcBorders/>
            <w:shd w:fill="CCEEFF" w:val="clear"/>
            <w:vAlign w:val="center"/>
          </w:tcPr>
          <w:p>
            <w:pPr>
              <w:pStyle w:val="TableContents"/>
              <w:bidi w:val="0"/>
              <w:spacing w:before="0" w:after="283"/>
              <w:jc w:val="center"/>
              <w:rPr/>
            </w:pPr>
            <w:r>
              <w:rPr/>
              <w:t>90</w:t>
            </w:r>
          </w:p>
        </w:tc>
      </w:tr>
    </w:tbl>
    <w:p>
      <w:pPr>
        <w:pStyle w:val="TextBody"/>
        <w:bidi w:val="0"/>
        <w:spacing w:before="0" w:after="0"/>
        <w:ind w:left="0" w:right="0" w:hanging="0"/>
        <w:jc w:val="center"/>
        <w:rPr>
          <w:caps/>
        </w:rPr>
      </w:pPr>
      <w:r>
        <w:rPr>
          <w:caps/>
        </w:rPr>
        <w:t> </w:t>
      </w:r>
    </w:p>
    <w:tbl>
      <w:tblPr>
        <w:tblW w:w="6980" w:type="dxa"/>
        <w:jc w:val="left"/>
        <w:tblInd w:w="0" w:type="dxa"/>
        <w:tblLayout w:type="fixed"/>
        <w:tblCellMar>
          <w:top w:w="0" w:type="dxa"/>
          <w:left w:w="0" w:type="dxa"/>
          <w:bottom w:w="0" w:type="dxa"/>
          <w:right w:w="0" w:type="dxa"/>
        </w:tblCellMar>
      </w:tblPr>
      <w:tblGrid>
        <w:gridCol w:w="6980"/>
      </w:tblGrid>
      <w:tr>
        <w:trPr/>
        <w:tc>
          <w:tcPr>
            <w:tcW w:w="6980" w:type="dxa"/>
            <w:tcBorders/>
            <w:vAlign w:val="center"/>
          </w:tcPr>
          <w:p>
            <w:pPr>
              <w:pStyle w:val="TableContents"/>
              <w:bidi w:val="0"/>
              <w:spacing w:before="0" w:after="283"/>
              <w:jc w:val="left"/>
              <w:rPr>
                <w:sz w:val="20"/>
              </w:rPr>
            </w:pPr>
            <w:r>
              <w:rPr>
                <w:sz w:val="20"/>
              </w:rPr>
              <w:t>EXHIBIT A CERTAIN DEFINITIONS</w:t>
            </w:r>
          </w:p>
        </w:tc>
      </w:tr>
      <w:tr>
        <w:trPr/>
        <w:tc>
          <w:tcPr>
            <w:tcW w:w="6980" w:type="dxa"/>
            <w:tcBorders/>
            <w:vAlign w:val="center"/>
          </w:tcPr>
          <w:p>
            <w:pPr>
              <w:pStyle w:val="TableContents"/>
              <w:bidi w:val="0"/>
              <w:spacing w:before="0" w:after="283"/>
              <w:jc w:val="left"/>
              <w:rPr>
                <w:sz w:val="20"/>
              </w:rPr>
            </w:pPr>
            <w:r>
              <w:rPr>
                <w:sz w:val="20"/>
              </w:rPr>
              <w:t>EXHIBIT B POST-CLOSING OFFICERS</w:t>
            </w:r>
          </w:p>
        </w:tc>
      </w:tr>
      <w:tr>
        <w:trPr/>
        <w:tc>
          <w:tcPr>
            <w:tcW w:w="6980" w:type="dxa"/>
            <w:tcBorders/>
            <w:vAlign w:val="center"/>
          </w:tcPr>
          <w:p>
            <w:pPr>
              <w:pStyle w:val="TableContents"/>
              <w:bidi w:val="0"/>
              <w:spacing w:before="0" w:after="283"/>
              <w:jc w:val="left"/>
              <w:rPr>
                <w:sz w:val="20"/>
              </w:rPr>
            </w:pPr>
            <w:r>
              <w:rPr>
                <w:sz w:val="20"/>
              </w:rPr>
              <w:t>EXHIBIT C FORM OF PIPE SHARE PURCHASE AGREEMENT</w:t>
            </w:r>
          </w:p>
        </w:tc>
      </w:tr>
      <w:tr>
        <w:trPr/>
        <w:tc>
          <w:tcPr>
            <w:tcW w:w="6980" w:type="dxa"/>
            <w:tcBorders/>
            <w:vAlign w:val="center"/>
          </w:tcPr>
          <w:p>
            <w:pPr>
              <w:pStyle w:val="TableContents"/>
              <w:bidi w:val="0"/>
              <w:spacing w:before="0" w:after="283"/>
              <w:jc w:val="left"/>
              <w:rPr>
                <w:sz w:val="20"/>
              </w:rPr>
            </w:pPr>
            <w:r>
              <w:rPr>
                <w:sz w:val="20"/>
              </w:rPr>
              <w:t>EXHIBIT D FORM OF PIPE REGISTRATION RIGHTS AGREEMENT</w:t>
            </w:r>
          </w:p>
        </w:tc>
      </w:tr>
      <w:tr>
        <w:trPr/>
        <w:tc>
          <w:tcPr>
            <w:tcW w:w="6980" w:type="dxa"/>
            <w:tcBorders/>
            <w:vAlign w:val="center"/>
          </w:tcPr>
          <w:p>
            <w:pPr>
              <w:pStyle w:val="TableContents"/>
              <w:bidi w:val="0"/>
              <w:spacing w:before="0" w:after="283"/>
              <w:jc w:val="left"/>
              <w:rPr>
                <w:sz w:val="20"/>
              </w:rPr>
            </w:pPr>
            <w:r>
              <w:rPr>
                <w:sz w:val="20"/>
              </w:rPr>
              <w:t>EXHIBIT E FORM OF INDEMNIFICATION AGREEMENT</w:t>
            </w:r>
          </w:p>
        </w:tc>
      </w:tr>
      <w:tr>
        <w:trPr/>
        <w:tc>
          <w:tcPr>
            <w:tcW w:w="6980" w:type="dxa"/>
            <w:tcBorders/>
            <w:vAlign w:val="center"/>
          </w:tcPr>
          <w:p>
            <w:pPr>
              <w:pStyle w:val="TableContents"/>
              <w:bidi w:val="0"/>
              <w:spacing w:before="0" w:after="283"/>
              <w:jc w:val="left"/>
              <w:rPr>
                <w:sz w:val="20"/>
              </w:rPr>
            </w:pPr>
            <w:r>
              <w:rPr>
                <w:sz w:val="20"/>
              </w:rPr>
              <w:t>EXHIBIT F FORM OF A&amp;R PARENT MAA</w:t>
            </w:r>
          </w:p>
        </w:tc>
      </w:tr>
      <w:tr>
        <w:trPr/>
        <w:tc>
          <w:tcPr>
            <w:tcW w:w="6980" w:type="dxa"/>
            <w:tcBorders/>
            <w:vAlign w:val="center"/>
          </w:tcPr>
          <w:p>
            <w:pPr>
              <w:pStyle w:val="TableContents"/>
              <w:bidi w:val="0"/>
              <w:spacing w:before="0" w:after="283"/>
              <w:jc w:val="left"/>
              <w:rPr>
                <w:sz w:val="20"/>
              </w:rPr>
            </w:pPr>
            <w:r>
              <w:rPr>
                <w:sz w:val="20"/>
              </w:rPr>
              <w:t>EXHIBIT G FORM OF SUPPORT AGREEMENT</w:t>
            </w:r>
          </w:p>
        </w:tc>
      </w:tr>
      <w:tr>
        <w:trPr/>
        <w:tc>
          <w:tcPr>
            <w:tcW w:w="6980" w:type="dxa"/>
            <w:tcBorders/>
            <w:vAlign w:val="center"/>
          </w:tcPr>
          <w:p>
            <w:pPr>
              <w:pStyle w:val="TableContents"/>
              <w:bidi w:val="0"/>
              <w:spacing w:before="0" w:after="283"/>
              <w:jc w:val="left"/>
              <w:rPr>
                <w:sz w:val="20"/>
              </w:rPr>
            </w:pPr>
            <w:r>
              <w:rPr>
                <w:sz w:val="20"/>
              </w:rPr>
              <w:t>EXHIBIT H FORM OF ENERGY SCIENCE REGISTRATION RIGHTS AGREEMENT</w:t>
            </w:r>
          </w:p>
        </w:tc>
      </w:tr>
      <w:tr>
        <w:trPr/>
        <w:tc>
          <w:tcPr>
            <w:tcW w:w="6980" w:type="dxa"/>
            <w:tcBorders/>
            <w:vAlign w:val="center"/>
          </w:tcPr>
          <w:p>
            <w:pPr>
              <w:pStyle w:val="TableContents"/>
              <w:bidi w:val="0"/>
              <w:spacing w:before="0" w:after="283"/>
              <w:jc w:val="left"/>
              <w:rPr>
                <w:sz w:val="20"/>
              </w:rPr>
            </w:pPr>
            <w:r>
              <w:rPr>
                <w:sz w:val="20"/>
              </w:rPr>
              <w:t>EXHIBIT I FORM OF OPTION AND EXCHANGE AGREEMENT</w:t>
            </w:r>
          </w:p>
        </w:tc>
      </w:tr>
      <w:tr>
        <w:trPr/>
        <w:tc>
          <w:tcPr>
            <w:tcW w:w="6980" w:type="dxa"/>
            <w:tcBorders/>
            <w:vAlign w:val="center"/>
          </w:tcPr>
          <w:p>
            <w:pPr>
              <w:pStyle w:val="TableContents"/>
              <w:bidi w:val="0"/>
              <w:spacing w:before="0" w:after="283"/>
              <w:jc w:val="left"/>
              <w:rPr>
                <w:sz w:val="20"/>
              </w:rPr>
            </w:pPr>
            <w:r>
              <w:rPr>
                <w:sz w:val="20"/>
              </w:rPr>
              <w:t>EXHIBIT J FORM OF SURRENDER AND TERMINATION OF SAFE AGREEMENT</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left"/>
              <w:rPr>
                <w:sz w:val="20"/>
              </w:rPr>
            </w:pPr>
            <w:r>
              <w:rPr>
                <w:sz w:val="20"/>
              </w:rPr>
              <w:t>SCHEDULE 1.4(E) SURVIVING CORPORATION DIRECTORS AND OFFICERS</w:t>
            </w:r>
          </w:p>
        </w:tc>
      </w:tr>
      <w:tr>
        <w:trPr/>
        <w:tc>
          <w:tcPr>
            <w:tcW w:w="6605" w:type="dxa"/>
            <w:tcBorders/>
            <w:vAlign w:val="center"/>
          </w:tcPr>
          <w:p>
            <w:pPr>
              <w:pStyle w:val="TableContents"/>
              <w:bidi w:val="0"/>
              <w:spacing w:before="0" w:after="283"/>
              <w:jc w:val="left"/>
              <w:rPr>
                <w:sz w:val="20"/>
              </w:rPr>
            </w:pPr>
            <w:r>
              <w:rPr>
                <w:sz w:val="20"/>
              </w:rPr>
              <w:t>SCHEDULE 5.1(A) OPERATION OF PARENT’S BUSINESS</w:t>
            </w:r>
          </w:p>
        </w:tc>
      </w:tr>
      <w:tr>
        <w:trPr/>
        <w:tc>
          <w:tcPr>
            <w:tcW w:w="6605" w:type="dxa"/>
            <w:tcBorders/>
            <w:vAlign w:val="center"/>
          </w:tcPr>
          <w:p>
            <w:pPr>
              <w:pStyle w:val="TableContents"/>
              <w:bidi w:val="0"/>
              <w:spacing w:before="0" w:after="283"/>
              <w:jc w:val="left"/>
              <w:rPr>
                <w:sz w:val="20"/>
              </w:rPr>
            </w:pPr>
            <w:r>
              <w:rPr>
                <w:sz w:val="20"/>
              </w:rPr>
              <w:t>SCHEDULE 5.1(B) PARENT PERMITTED ACTIONS</w:t>
            </w:r>
          </w:p>
        </w:tc>
      </w:tr>
      <w:tr>
        <w:trPr/>
        <w:tc>
          <w:tcPr>
            <w:tcW w:w="6605" w:type="dxa"/>
            <w:tcBorders/>
            <w:vAlign w:val="center"/>
          </w:tcPr>
          <w:p>
            <w:pPr>
              <w:pStyle w:val="TableContents"/>
              <w:bidi w:val="0"/>
              <w:spacing w:before="0" w:after="283"/>
              <w:jc w:val="left"/>
              <w:rPr>
                <w:sz w:val="20"/>
              </w:rPr>
            </w:pPr>
            <w:r>
              <w:rPr>
                <w:sz w:val="20"/>
              </w:rPr>
              <w:t>SCHEDULE 5.2(A) OPERATION OF THE COMPANY’S BUSINESS</w:t>
            </w:r>
          </w:p>
        </w:tc>
      </w:tr>
      <w:tr>
        <w:trPr/>
        <w:tc>
          <w:tcPr>
            <w:tcW w:w="6605" w:type="dxa"/>
            <w:tcBorders/>
            <w:vAlign w:val="center"/>
          </w:tcPr>
          <w:p>
            <w:pPr>
              <w:pStyle w:val="TableContents"/>
              <w:bidi w:val="0"/>
              <w:spacing w:before="0" w:after="283"/>
              <w:jc w:val="left"/>
              <w:rPr>
                <w:sz w:val="20"/>
              </w:rPr>
            </w:pPr>
            <w:r>
              <w:rPr>
                <w:sz w:val="20"/>
              </w:rPr>
              <w:t>SCHEDULE 5.2(B) COMPANY PERMITTED ACTIONS</w:t>
            </w:r>
          </w:p>
        </w:tc>
      </w:tr>
      <w:tr>
        <w:trPr/>
        <w:tc>
          <w:tcPr>
            <w:tcW w:w="6605" w:type="dxa"/>
            <w:tcBorders/>
            <w:vAlign w:val="center"/>
          </w:tcPr>
          <w:p>
            <w:pPr>
              <w:pStyle w:val="TableContents"/>
              <w:bidi w:val="0"/>
              <w:spacing w:before="0" w:after="283"/>
              <w:jc w:val="left"/>
              <w:rPr>
                <w:sz w:val="20"/>
              </w:rPr>
            </w:pPr>
            <w:r>
              <w:rPr>
                <w:sz w:val="20"/>
              </w:rPr>
              <w:t>SCHEDULE 6.6(A) PARENT DIRECTORS AND OFFICERS TO RESIGN</w:t>
            </w:r>
          </w:p>
        </w:tc>
      </w:tr>
      <w:tr>
        <w:trPr/>
        <w:tc>
          <w:tcPr>
            <w:tcW w:w="6605" w:type="dxa"/>
            <w:tcBorders/>
            <w:vAlign w:val="center"/>
          </w:tcPr>
          <w:p>
            <w:pPr>
              <w:pStyle w:val="TableContents"/>
              <w:bidi w:val="0"/>
              <w:spacing w:before="0" w:after="283"/>
              <w:jc w:val="left"/>
              <w:rPr>
                <w:sz w:val="20"/>
              </w:rPr>
            </w:pPr>
            <w:r>
              <w:rPr>
                <w:sz w:val="20"/>
              </w:rPr>
              <w:t>SCHEDULE 7.1(F) COMPANY LEGAL PROCEEDINGS</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AGREEMENT AND PLAN OF MERGER</w:t>
      </w:r>
      <w:r>
        <w:rPr>
          <w:rFonts w:ascii="Times New Roman;Times;Serif" w:hAnsi="Times New Roman;Times;Serif"/>
          <w:b w:val="false"/>
          <w:i w:val="false"/>
          <w:caps w:val="false"/>
          <w:smallCaps w:val="false"/>
          <w:sz w:val="20"/>
        </w:rPr>
        <w:t xml:space="preserve"> is made and entered into as of August 10, 2026, by and among SAIHEAT Limited, an exempted company with limited liability incorporated under the laws of the Cayman Islands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Saiheat Merger Sub, Inc., a Delaware corporation and wholly-owned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Canopy Wave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Company’s stockholders, Taoyue (Tao) Zhang, an individual residing in the State of Washington (“</w:t>
      </w:r>
      <w:r>
        <w:rPr>
          <w:rFonts w:ascii="Times New Roman;Times;Serif" w:hAnsi="Times New Roman;Times;Serif"/>
          <w:b/>
          <w:i w:val="false"/>
          <w:caps w:val="false"/>
          <w:smallCaps w:val="false"/>
          <w:sz w:val="20"/>
        </w:rPr>
        <w:t>Tao</w:t>
      </w:r>
      <w:r>
        <w:rPr>
          <w:rFonts w:ascii="Times New Roman;Times;Serif" w:hAnsi="Times New Roman;Times;Serif"/>
          <w:b w:val="false"/>
          <w:i w:val="false"/>
          <w:caps w:val="false"/>
          <w:smallCaps w:val="false"/>
          <w:sz w:val="20"/>
        </w:rPr>
        <w:t>”), and Chunyi (James) Liao, an individual residing in the State of California (“</w:t>
      </w:r>
      <w:r>
        <w:rPr>
          <w:rFonts w:ascii="Times New Roman;Times;Serif" w:hAnsi="Times New Roman;Times;Serif"/>
          <w:b/>
          <w:i w:val="false"/>
          <w:caps w:val="false"/>
          <w:smallCaps w:val="false"/>
          <w:sz w:val="20"/>
        </w:rPr>
        <w:t>James</w:t>
      </w:r>
      <w:r>
        <w:rPr>
          <w:rFonts w:ascii="Times New Roman;Times;Serif" w:hAnsi="Times New Roman;Times;Serif"/>
          <w:b w:val="false"/>
          <w:i w:val="false"/>
          <w:caps w:val="false"/>
          <w:smallCaps w:val="false"/>
          <w:sz w:val="20"/>
        </w:rPr>
        <w:t>” and together with Tao,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xml:space="preserve">”). Certain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Parent intend to effect a merger of the Company with and into Merger Sub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in accordance with this Agreement and the DGCL. Upon consummation of the Merger, the Company will cease to exist and Merger Sub will continue as the surviving corporation in the Merger and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United States federal and applicable state and local income Tax purposes, the Parties intend that the Merger shall qualify as a reorganization within the meaning of Section 368(a) of the Code and that, by executing this Agreement, the Parties intend to adopt this Agreement as a plan of reorganization within the meaning of Treasury Regulations Sections 1.368-1(c) and 1.368-2(g). Each of Tao and James intends to timely enter into a gain recognition agreement with the Internal Revenue Service in the form and manner prescribed by Treasury Regulations Section 1.367(a)-8, as further described in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Board has (i) determined that the Contemplated Transactions are fair to, advisable and in the best interests of Parent and its shareholders, (ii) approved and declared advisable this Agreement and the Contemplated Transactions, including (x) the issuance of the Parent Class A Ordinary Shares and Parent Class B Ordinary Shares to the stockholders of the Company pursuant to the terms of this Agreement, and (y) the reservation of the Parent Class A Ordinary Shares for the Reserved Option Pool for future issuances, and (iii) determined to recommend, upon the terms and subject to the conditions set forth in this Agreement, that the shareholders of Parent provide the Required Parent Shareholder Approvals at the Parent Shareholders’ Meeting to be convened promptly following the execution of this Agreement and prior to the Closing, and that the holder of the Class B Ordinary Shares provide the Required Parent Class B Consent (the “</w:t>
      </w:r>
      <w:r>
        <w:rPr>
          <w:rFonts w:ascii="Times New Roman;Times;Serif" w:hAnsi="Times New Roman;Times;Serif"/>
          <w:b/>
          <w:i w:val="false"/>
          <w:caps w:val="false"/>
          <w:smallCaps w:val="false"/>
          <w:sz w:val="20"/>
        </w:rPr>
        <w:t>Parent Board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board of directors of Merger Sub has adopted resolutions (i) approving, adopting and declaring the advisability of this Agreement and (ii) submitting this Agreement to the sole stockholder of Merger Sub for its consideration and vote (the “</w:t>
      </w:r>
      <w:r>
        <w:rPr>
          <w:rFonts w:ascii="Times New Roman;Times;Serif" w:hAnsi="Times New Roman;Times;Serif"/>
          <w:b/>
          <w:i w:val="false"/>
          <w:caps w:val="false"/>
          <w:smallCaps w:val="false"/>
          <w:sz w:val="20"/>
        </w:rPr>
        <w:t>Merger Sub Board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Board has adopted resolutions (i) approving, adopting and declaring the advisability of this Agreement, and (ii) submitting this Agreement to the Company’s stockholders for their written consent or affirmative vote (the “</w:t>
      </w:r>
      <w:r>
        <w:rPr>
          <w:rFonts w:ascii="Times New Roman;Times;Serif" w:hAnsi="Times New Roman;Times;Serif"/>
          <w:b/>
          <w:i w:val="false"/>
          <w:caps w:val="false"/>
          <w:smallCaps w:val="false"/>
          <w:sz w:val="20"/>
        </w:rPr>
        <w:t>Company Board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Subsequent to the Company Board Approval, but prior to the execution of this Agreement, all holders of outstanding shares of Company Common Stock have signed and delivered to the Company an irrevocable consent (the “</w:t>
      </w:r>
      <w:r>
        <w:rPr>
          <w:rFonts w:ascii="Times New Roman;Times;Serif" w:hAnsi="Times New Roman;Times;Serif"/>
          <w:b/>
          <w:i w:val="false"/>
          <w:caps w:val="false"/>
          <w:smallCaps w:val="false"/>
          <w:sz w:val="20"/>
        </w:rPr>
        <w:t>Company Stockholder Consent</w:t>
      </w:r>
      <w:r>
        <w:rPr>
          <w:rFonts w:ascii="Times New Roman;Times;Serif" w:hAnsi="Times New Roman;Times;Serif"/>
          <w:b w:val="false"/>
          <w:i w:val="false"/>
          <w:caps w:val="false"/>
          <w:smallCaps w:val="false"/>
          <w:sz w:val="20"/>
        </w:rPr>
        <w:t>”) in lieu of a meeting in accordance with the Company’s certificate of incorporation, the Company’s bylaws and the DGCL, pursuant to which such stockholders (i) approved and adopted this Agreement and the Merger; (ii) acknowledged that the approval given thereby is irrevocable and that each such stockholder is aware of its rights to demand appraisal for its shares pursuant to Section 262 of the DGCL, a true and correct copy of which was attached thereto, and that such stockholder has received and read a copy of Section 262 of the DGCL, and (iii) acknowledged that by such stockholders’ approval of the Merger they are not entitled to appraisal rights with respect to their shares of Company Common Stock in connection with the Merger and thereby waive any rights to receive payment of the fair value of such shares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Subsequent to the Merger Sub Board Approval, but prior to the execution of this Agreement, Parent, as sole stockholder of Merger Sub, has signed and delivered an irrevocable written consent in accordance with Merger Sub’s certificate of incorporation, Merger Sub’s bylaws and the DGCL, pursuant to which such stockholder approved and adopted this Agreement and the Merger (the “</w:t>
      </w:r>
      <w:r>
        <w:rPr>
          <w:rFonts w:ascii="Times New Roman;Times;Serif" w:hAnsi="Times New Roman;Times;Serif"/>
          <w:b/>
          <w:i w:val="false"/>
          <w:caps w:val="false"/>
          <w:smallCaps w:val="false"/>
          <w:sz w:val="20"/>
        </w:rPr>
        <w:t>Merger Sub Stockholder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Upon consummation of the Merger, the name of the Parent shall be changed to “Canopy Wave Holdings Inc.” and the Parent Class A Ordinary Shares shall be listed on the Nasdaq under the ticker symbol “CWAV,” in each case subject to receipt of the Required Parent Shareholder Approvals and any other applicable regulatory or exchange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DESCRIPTION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set forth in this Agreement, at the Effective Time, the Company shall be merged with and into Merger Sub, and the separate existence of the Company shall cease. As a result of the Merger, Merger Sub will continue as the surviving corporation in the Merger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and will remain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Effects of the Merger</w:t>
      </w:r>
      <w:r>
        <w:rPr>
          <w:rFonts w:ascii="Times New Roman;Times;Serif" w:hAnsi="Times New Roman;Times;Serif"/>
          <w:b w:val="false"/>
          <w:i w:val="false"/>
          <w:caps w:val="false"/>
          <w:smallCaps w:val="false"/>
          <w:sz w:val="20"/>
        </w:rPr>
        <w:t>. At and after the Effective Time, the Merger shall have the effects set forth in this Agreement, the Certificate of Merger and in the applicable provisions of the DGCL. As a result of the Merger, the Surviving Corporation will remain a wholly-owned Subsidiary of Parent. When the term “Company” is used in this Agreement with respect to periods after the Effective Time, such term shall have the same meaning as the term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Closing; Effective Time</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via the electronic exchange of documents and signatures as promptly as practicable (but in no event later than the fifth (5th) Business Day following the satisfaction or waiver of the last to be satisfied or waived of the conditions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Closing, Merger Sub shall, with the Company’s and Sellers’ reasonable assistance, cause the Merger to be consummated by executing, acknowledging, and filing (or causing the filing) with the Secretary of State of the State of Delaware a certificate of merger with respect to the Merger, in form and substance to be agreed upon by the Parties and satisfying the applicable requirements of the DGCL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The Merger shall become effective at the time of the filing of the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Certificate of Incorporation and Bylaws;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certificate of incorporation of Merger Sub as in effect immediately prior to the Effective Time shall, from and after the Effective Time, be the certificate of incorporation of the Surviving Corporation until thereafter amended as provided by the DGCL and such certificate of incorporation. Prior to the Closing, the board of directors of Merger Sub and Parent, as the sole stockholder of Merger Sub, shall each adopt resolutions authorizing, approving, adopting and declaring the advisability of an amended and restated certificate of incorporation of the Surviving Corporation (the “</w:t>
      </w:r>
      <w:r>
        <w:rPr>
          <w:rFonts w:ascii="Times New Roman;Times;Serif" w:hAnsi="Times New Roman;Times;Serif"/>
          <w:b/>
          <w:i w:val="false"/>
          <w:caps w:val="false"/>
          <w:smallCaps w:val="false"/>
          <w:sz w:val="20"/>
        </w:rPr>
        <w:t>Surviving Charter</w:t>
      </w:r>
      <w:r>
        <w:rPr>
          <w:rFonts w:ascii="Times New Roman;Times;Serif" w:hAnsi="Times New Roman;Times;Serif"/>
          <w:b w:val="false"/>
          <w:i w:val="false"/>
          <w:caps w:val="false"/>
          <w:smallCaps w:val="false"/>
          <w:sz w:val="20"/>
        </w:rPr>
        <w:t xml:space="preserve">”), which resolutions shall be evidenced by the Board Consent to A&amp;R Charter and the Stockholder Consent to A&amp;R Charter (each as defined below), each to be executed and delivered as a closing deliverable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The Surviving Corporation shall, immediately following the Effective Time, file the Surviving Charter with the Secretary of State of the State of Delaware, which shall, among other things: (i) change the name of the Surviving Corporation to “Canopy Wave Inc.”, (ii) delete or replace the perpetual existence provision, (iii) expand the Board’s bylaw-making authority to include the power to “make” new bylaws (not just amend or repeal), and (iv) eliminate the written ballot otherwise required by Section 211(e) of the DGCL for director elections.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Merger Sub shall take all lawful action so that the bylaws of Merger Sub as in effect immediately prior to the Effective Time shall, at the Effective Time, be amended and restated to be substantially the same as the bylaws of the Company as in effect immediately prior to the Effective Time and, as so amended and restated, shall be the bylaws of the Surviving Corporation (the “</w:t>
      </w:r>
      <w:r>
        <w:rPr>
          <w:rFonts w:ascii="Times New Roman;Times;Serif" w:hAnsi="Times New Roman;Times;Serif"/>
          <w:b/>
          <w:i w:val="false"/>
          <w:caps w:val="false"/>
          <w:smallCaps w:val="false"/>
          <w:sz w:val="20"/>
        </w:rPr>
        <w:t>Surviving Bylaws</w:t>
      </w:r>
      <w:r>
        <w:rPr>
          <w:rFonts w:ascii="Times New Roman;Times;Serif" w:hAnsi="Times New Roman;Times;Serif"/>
          <w:b w:val="false"/>
          <w:i w:val="false"/>
          <w:caps w:val="false"/>
          <w:smallCaps w:val="false"/>
          <w:sz w:val="20"/>
        </w:rPr>
        <w:t>”) until thereafter amended in accordance with the Surviving Charter, the Surviving Bylaws or by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Effective Time, the memorandum and articles of association of Parent shall be the sixth amended and restated memorandum and articles of association of Parent to be adopted by special resolution at the Parent Shareholders’ Meeting (conditional upon and effective at the Effective Time) in accordance with the Existing Parent MAA and the Companies Act (Revised) of the Cayman Islands, in the form as set forth in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A&amp;R Parent MAA</w:t>
      </w:r>
      <w:r>
        <w:rPr>
          <w:rFonts w:ascii="Times New Roman;Times;Serif" w:hAnsi="Times New Roman;Times;Serif"/>
          <w:b w:val="false"/>
          <w:i w:val="false"/>
          <w:caps w:val="false"/>
          <w:smallCaps w:val="false"/>
          <w:sz w:val="20"/>
        </w:rPr>
        <w:t>”), until thereafter amended as provided by the laws of the Cayman Islands.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the Effective Time, Parent shall take all such lawful action so that immediately following the Effective Time, the directors of Parent shall be the natural persons as set forth in the Director Designation Notice and officers of Parent shall be the natural persons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each to hold office in accordance with the A&amp;R Parent MAA and the laws of the Cayman Islands.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Effective Time, Parent shall take all such lawful action so that immediately following the Effective Time, the directors and officers of the Surviving Corporation shall be the natural persons as set forth in Schedule 1.4(e) or as otherwise mutually agreed upon by Parent and the Company, each to serve until his or her successor is elected and qualified, subject to his or her earlier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Merger Consideration</w:t>
      </w:r>
      <w:r>
        <w:rPr>
          <w:rFonts w:ascii="Times New Roman;Times;Serif" w:hAnsi="Times New Roman;Times;Serif"/>
          <w:b w:val="false"/>
          <w:i w:val="false"/>
          <w:caps w:val="false"/>
          <w:smallCaps w:val="false"/>
          <w:sz w:val="20"/>
        </w:rPr>
        <w:t>. The aggregate merger consideration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xml:space="preserve">”) to be paid by Parent for all of the issued and outstanding shares of Company Common Stock immediately prior to the Effective Time and amounts reserved for Company Options outstanding immediately prior to the Effective Time shall equal the Consideration Shares. Notwithstanding anything in this Agreement or any other Transaction Agreement to the contrary, except as provided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in no event shall Parent or Merger Sub be obligated to pay consideration under this Agreement or any other Transaction Agreement in excess of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Parent, Merger Sub, the Company or any stockholder of the Company, Merger Sub or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of Company Common Stock held as treasury stock or held or owned by the Company or any wholly-owned Subsidiary of the Company immediately prior to the Effective Time shall be canceled and shall cease to exist, and no consideration shall be delivered in exchange therefor;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share of Company Common Stock issued and outstanding immediately prior to the Effective Time (excluding shares to be canceled pursuant to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shall be automatically converted solely into the right to receive the Company Per Share Consideration, and each such share of Company Common Stock so converted shall automatically be cancelled and shall cease to exist, and the holders thereof shall cease to have any rights with respect to such shares other than the right to receive the foregoing merger consideration upon surrender of Company Stock Certificates or transfer of Book-Entry Shares pursuant to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share of common stock of Merger Sub issued and outstanding immediately prior to the Effective Time shall remain outstanding as one share of common stock of the Surviving Corporation and shall not be converted or cancelled, and each stock certificate of Merger Sub evidencing ownership of any such shares shall, as of the Effective Time, evidence ownership of such shares of common stock of the Surviving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take all such lawful action so that if any shares of Company Common Stock outstanding immediately prior to the Effective Time are subject to a repurchase option under any applicable restricted stock purchase agreement or other similar agreement with the Company, as of immediately prior to the Effective Time, such shares of Company Common Stock shall no longer be subject to any right of repurchase or other such conditions and shall be converted in accordance with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take all such lawful action so that all Company Options outstanding immediately prior to the Effective Time shall be treated in accordance with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between the date of this Agreement and the Effective Time, the outstanding shares of Company Common Stock, Parent Class A Ordinary Shares or Parent Class B Ordinary Shares shall have been changed into, or exchanged for, a different number of shares or a different class, by reason of any stock dividend, subdivision, reclassification, recapitalization, split, combination or exchange of shares or other like change, the Company Aggregate Share Consideration and the Reserved Option Pool shall, to the extent necessary, be equitably adjusted to reflect such change to the extent necessary to provide the holders of Company Common Stock, Parent Class A Ordinary Shares and Parent Class B Ordinary Shares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Common Stock, Parent Class A Ordinary Shares or Parent Class B Ordinary Shares, respectively, that is prohibited or not expressly permitted by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other provision of this Agreement, no fractional Parent Class A Ordinary Shares or Parent Class B Ordinary Shares shall be issued in connection with the Merger. The Company Per Share Consideration shall be applied on an aggregate basis with respect to all shares of Company Common Stock held by each holder immediately prior to the Effective Time (and not on a share-by-share basis), such that the total number of Parent Class A Ordinary Shares and Parent Class B Ordinary Shares, as applicable, issuable to each such holder shall be determined by multiplying the total number of shares of Company Common Stock held by such holder by the Company Per Share Consideration and rounding down the resulting product to the nearest whole share of each applicable class of Parent Ordinary Shares. No holder of Company Common Stock shall be entitled to receive any cash or other consideration in respect of any fractional share interest that would otherwise result from such calculation, and any such fractional share interest shall be forfeited without any payment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Closing of the Company’s Transfer Books</w:t>
      </w:r>
      <w:r>
        <w:rPr>
          <w:rFonts w:ascii="Times New Roman;Times;Serif" w:hAnsi="Times New Roman;Times;Serif"/>
          <w:b w:val="false"/>
          <w:i w:val="false"/>
          <w:caps w:val="false"/>
          <w:smallCaps w:val="false"/>
          <w:sz w:val="20"/>
        </w:rPr>
        <w:t>. At the Effective Time: (a) all holders of (i) certificates representing shares of Company Common Stock and (ii) book-entry shares representing shares of Company Common Stock, in each case, that were issued and outstanding immediately prior to the Effective Time (collectively, “</w:t>
      </w:r>
      <w:r>
        <w:rPr>
          <w:rFonts w:ascii="Times New Roman;Times;Serif" w:hAnsi="Times New Roman;Times;Serif"/>
          <w:b/>
          <w:i w:val="false"/>
          <w:caps w:val="false"/>
          <w:smallCaps w:val="false"/>
          <w:sz w:val="20"/>
        </w:rPr>
        <w:t>Company Stock Certificates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Book-Entry Shares</w:t>
      </w:r>
      <w:r>
        <w:rPr>
          <w:rFonts w:ascii="Times New Roman;Times;Serif" w:hAnsi="Times New Roman;Times;Serif"/>
          <w:b w:val="false"/>
          <w:i w:val="false"/>
          <w:caps w:val="false"/>
          <w:smallCaps w:val="false"/>
          <w:sz w:val="20"/>
        </w:rPr>
        <w:t xml:space="preserve">,” respectively)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Company Stock Certificate is presented to the Surviving Corporation, such Company Stock Certificate shall be canceled and shall be exchanged as provided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Exchange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at the Closing, Parent shall deliver or cause to be delivered to each Person who was a record holder of shares of Company Common Stock that were converted into the right to receive Parent Class A Ordinary Shares or Parent Class B Ordinary Shares, as applicable, pursuant to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 xml:space="preserve">: (i) a letter of transmittal in customary form and containing such provisions as Parent may reasonably specify (including a provision confirming that delivery of Company Stock Certificates or transfer of Book-Entry Shares to Parent shall be effected, and risk of loss and title thereto shall pass, only upon proper delivery of such Company Stock Certificates or transfer of the Book-Entry Shares to Parent); and (ii) instructions for effecting the surrender of Company Stock Certificates or transfer of Book-Entry Shares in exchange for Parent Class A Ordinary Shares or Parent Class B Ordinary Shares, as applicable, pursuant to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 xml:space="preserve">. Upon surrender of a Company Stock Certificate or transfer of Book-Entry Shares to Parent for exchange, together with a duly executed letter of transmittal and such other documents as may be reasonably required by Parent: (A) the holder of such Company Stock Certificate or Book-Entry Shares shall be entitled to receive in exchange therefor a certificate or certificates (or book-entry notation) evidencing the number of Parent Class A Ordinary Shares or Parent Class B Ordinary Shares, as applicable, determined by multiplying the number of shares of Company Common Stock evidenced by such Company Stock Certificate or Book-Entry Shares by the Company Per Share Consideration, subject to the withholding and deposit with the Escrow Agent of the Escrow Shares pursuant to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and (B) the Company Stock Certificates or Book-Entry Shares so surrendered or transferred, as the case may be, shall be canceled. Until surrendered or transferred as contemplated by this </w:t>
      </w:r>
      <w:r>
        <w:rPr>
          <w:rFonts w:ascii="Times New Roman;Times;Serif" w:hAnsi="Times New Roman;Times;Serif"/>
          <w:b w:val="false"/>
          <w:i w:val="false"/>
          <w:caps w:val="false"/>
          <w:smallCaps w:val="false"/>
          <w:sz w:val="20"/>
          <w:u w:val="single"/>
        </w:rPr>
        <w:t>Section 1.8(a)</w:t>
      </w:r>
      <w:r>
        <w:rPr>
          <w:rFonts w:ascii="Times New Roman;Times;Serif" w:hAnsi="Times New Roman;Times;Serif"/>
          <w:b w:val="false"/>
          <w:i w:val="false"/>
          <w:caps w:val="false"/>
          <w:smallCaps w:val="false"/>
          <w:sz w:val="20"/>
        </w:rPr>
        <w:t xml:space="preserve">, the Company Stock Certificates or Book-Entry Shares shall be deemed, from and after the Effective Time, to represent only the right to receive in exchange therefor a certificate or certificates (or book-entry notation) evidencing the number of Parent Class A Ordinary Shares or Parent Class B Ordinary Shares, as applicable, determined by multiplying the number of shares of Company Common Stock evidenced by such Company Stock Certificate or Book-Entry Shares by the Company Per Share Consideration. If any Company Stock Certificate shall have been lost, stolen or destroyed, Parent may, in its discretion and as a condition precedent to the delivery of any portion of the Company Aggregate Share Consideration into which the shares of Company Common Stock represented thereby were converted pursuant to the provisions of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require the owner of such lost, stolen or destroyed Company Stock Certificate to provide an applicable affidavit with respect to such Company Stock Certificate that includes a bond sufficient to indemnify Parent against any claim suffered by Parent related to the lost, stolen or destroyed Company Stock Certificate as Parent may reasonably request. In the event of a transfer of ownership of a Company Stock Certificate or Book-Entry Share that is not registered in the transfer records of the Company, delivery of the portion of the Company Aggregate Share Consideration into which the shares of Company Common Stock represented by such Company Stock Certificate or Book-Entry Share were converted pursuant to the provisions of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may be made to a Person other than the Person in whose name such Company Stock Certificate or Book-Entry Share so surrendered or transferred is registered if such Company Stock Certificate shall be properly endorsed or otherwise be in proper form for transfer or such Book-Entry Share shall be properly transferred and the Person requesting such payment shall pay any transfer or other Taxes required by reason of the transfer or establish to the reasonable satisfaction of Parent that such Taxes have been paid or are not applicable. The Company Aggregate Share Consideration and any dividends or other distributions as are payable pursuant to </w:t>
      </w:r>
      <w:r>
        <w:rPr>
          <w:rFonts w:ascii="Times New Roman;Times;Serif" w:hAnsi="Times New Roman;Times;Serif"/>
          <w:b w:val="false"/>
          <w:i w:val="false"/>
          <w:caps w:val="false"/>
          <w:smallCaps w:val="false"/>
          <w:sz w:val="20"/>
          <w:u w:val="single"/>
        </w:rPr>
        <w:t>Section 1.8(b)</w:t>
      </w:r>
      <w:r>
        <w:rPr>
          <w:rFonts w:ascii="Times New Roman;Times;Serif" w:hAnsi="Times New Roman;Times;Serif"/>
          <w:b w:val="false"/>
          <w:i w:val="false"/>
          <w:caps w:val="false"/>
          <w:smallCaps w:val="false"/>
          <w:sz w:val="20"/>
        </w:rPr>
        <w:t xml:space="preserve"> shall be deemed to have been in full satisfaction of all rights pertaining to Company Common Stock formerly represented by such Company Stock Certificates or Book-Entry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dividends or other distributions declared or made with respect to the Company Aggregate Share Consideration with a record date on or after the Effective Time shall be paid to the holder of any unsurrendered Company Stock Certificate or Book-Entry Shares with respect to the portion of the Company Aggregate Share Consideration that such holder has the right to receive in connection with the Merger until such holder surrenders such Company Stock Certificate or transfers such Book-Entry Shares or provides an affidavit of loss or destruction in lieu thereof in accordance with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(at which time (or, if later, on the applicable payment date) such holder shall be entitled, subject to the withholding of Taxes, to receive all such dividends and distributions,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consideration that remains unclaimed by former holders of shares of Company Common Stock as of the date that is two (2) years after the Closing Date shall be retained by Parent, and any holders of Company Stock Certificates or Book-Entry Shares who have not theretofore surrendered their Company Stock Certificates or transferred their Book-Entry Shares in accordance with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shall thereafter look only to Parent for satisfaction of their claims for Parent Class A Ordinary Shares or Parent Class B Ordinary Shares, as applicable, and any dividends or distributions with respect thereto to which they may be entitled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Party shall, to the fullest extent permitted under applicable Law, be liable to any holder of any shares of Company Common Stock or to any other Person with respect to any Parent Class A Ordinary Shares or Parent Class B Ordinary Shares (or dividends or distributions with respect thereto) or for any cash amounts delivered to any public official pursuant to any applicable abandoned property Law, escheat Law or similar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u w:val="single"/>
        </w:rPr>
        <w:t>Company Equity Awards</w:t>
      </w:r>
      <w:r>
        <w:rPr>
          <w:rFonts w:ascii="Times New Roman;Times;Serif" w:hAnsi="Times New Roman;Times;Serif"/>
          <w:b w:val="false"/>
          <w:i w:val="false"/>
          <w:caps w:val="false"/>
          <w:smallCaps w:val="false"/>
          <w:sz w:val="20"/>
        </w:rPr>
        <w:t>. At the Effective Time, each Company Option that is outstanding and unexercised immediately prior to the Effective Time under the Option Agreements, whether or not vested, shall be cancelled and exchanged for an option to purchase Parent Class A Ordinary Shares (each a “</w:t>
      </w:r>
      <w:r>
        <w:rPr>
          <w:rFonts w:ascii="Times New Roman;Times;Serif" w:hAnsi="Times New Roman;Times;Serif"/>
          <w:b/>
          <w:i w:val="false"/>
          <w:caps w:val="false"/>
          <w:smallCaps w:val="false"/>
          <w:sz w:val="20"/>
        </w:rPr>
        <w:t>New Parent Option</w:t>
      </w:r>
      <w:r>
        <w:rPr>
          <w:rFonts w:ascii="Times New Roman;Times;Serif" w:hAnsi="Times New Roman;Times;Serif"/>
          <w:b w:val="false"/>
          <w:i w:val="false"/>
          <w:caps w:val="false"/>
          <w:smallCaps w:val="false"/>
          <w:sz w:val="20"/>
        </w:rPr>
        <w:t xml:space="preserve">”) pursuant to an Option and Exchange Agreement entered into by and among Parent, the Company, and each applicable Option Holder, each of which shall be executed and delivered concurrently with the execution of this Agreement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val="false"/>
          <w:caps w:val="false"/>
          <w:smallCaps w:val="false"/>
          <w:sz w:val="20"/>
        </w:rPr>
        <w:t>Option and Exchange Agreement</w:t>
      </w:r>
      <w:r>
        <w:rPr>
          <w:rFonts w:ascii="Times New Roman;Times;Serif" w:hAnsi="Times New Roman;Times;Serif"/>
          <w:b w:val="false"/>
          <w:i w:val="false"/>
          <w:caps w:val="false"/>
          <w:smallCaps w:val="false"/>
          <w:sz w:val="20"/>
        </w:rPr>
        <w:t xml:space="preserve">”). Parent shall issue each such New Parent Option in accordance with the terms (as in effect as of the date of this Agreement) of the applicable Option Agreement by which the corresponding Company Option is evidenced (but with changes to such documents as Parent in good faith determines are necessary or appropriate to reflect the exchange of the Company Options for the New Parent Options). All rights with respect to Company Common Stock under Company Options exchanged pursuant to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thereupon be converted into rights with respect to Parent Class A Ordinary Shares such that, from and after the Effective Time: (i) each New Parent Option may be exercised solely for Parent Class A Ordinary Shares; (ii) the number of Parent Class A Ordinary Shares subject to each New Parent Option shall be determined by multiplying (A) the Reserved Option Pool by (B) the quotient, the numerator of which is the number of shares of Company Common Stock underlying the corresponding Company Option and the denominator is the total number of shares of Company Common Stock underlying all Company Options that are outstanding and unexercised immediately prior to the Effective Time; (iii) the per share exercise price for the Parent Class A Ordinary Shares issuable upon exercise of each New Parent Option shall be determined by dividing the aggregate exercise price of the corresponding Company Option by the number of Parent Class A Ordinary Shares underlying such New Parent Option, rounded up to the next whole cent; and (iv) any restriction on the exercise of any Company Option exchanged pursuant to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continue in full force and effect and the term, exercisability, vesting schedule and other provisions of such Company Option shall otherwise remain substantially unchanged; provided, that, (I) in the case of any Company Option to which Section 421 of the Code applies as of immediately prior to the Effective Time by reason of its qualification under Section 422 of the Code, the exercise price, the number of Parent Class A Ordinary Shares subject to such option and the terms and conditions of exercise of such option shall be determined in a manner consistent with the requirements of Section 424(a) of the Code, and (II) the exercise price, the number of Parent Class A Ordinary Shares subject to, and the terms and conditions of exercise of each option to purchase Parent Class A Ordinary Shares shall also be determined in a manner consistent with the requirements of Section 409A of the Code; provided, further, that (x) Parent may amend the terms of any New Parent Option as may be necessary or appropriate to reflect the exchange of the Company Options for the New Parent Options (such as by making any change in control or similar definition relate to Parent and having any provision that provides for the adjustment of Company Options upon the occurrence of certain corporate events relate to corporate events that relate to Parent and/or Parent Class A Ordinary Shares), and (y) the Parent Board or a committee thereof shall succeed to the authority and responsibility of the Company Board or any committee thereof with respect to each New Parent Option. Notwithstanding the foregoing, nothing in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affect the currently in-effect Parent Stock Plan, which shall continue in full force and effect in accordance with its existing terms following the Effective Time, including its evergreen share reserve increase mechanism, without modification or amendment as a result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 </w:t>
      </w:r>
      <w:r>
        <w:rPr>
          <w:rFonts w:ascii="Times New Roman;Times;Serif" w:hAnsi="Times New Roman;Times;Serif"/>
          <w:b/>
          <w:i w:val="false"/>
          <w:caps w:val="false"/>
          <w:smallCaps w:val="false"/>
          <w:sz w:val="20"/>
          <w:u w:val="single"/>
        </w:rPr>
        <w:t>Withholding</w:t>
      </w:r>
      <w:r>
        <w:rPr>
          <w:rFonts w:ascii="Times New Roman;Times;Serif" w:hAnsi="Times New Roman;Times;Serif"/>
          <w:b w:val="false"/>
          <w:i w:val="false"/>
          <w:caps w:val="false"/>
          <w:smallCaps w:val="false"/>
          <w:sz w:val="20"/>
        </w:rPr>
        <w:t>. Parent, the Company (and the Surviving Corporation from and after the Closing), and their respective Affiliates, agents and designees, as applicable, shall be entitled to deduct and withhold from the amounts otherwise payable pursuant to this Agreement to any Seller or any other Person such amounts (the “</w:t>
      </w:r>
      <w:r>
        <w:rPr>
          <w:rFonts w:ascii="Times New Roman;Times;Serif" w:hAnsi="Times New Roman;Times;Serif"/>
          <w:b/>
          <w:i w:val="false"/>
          <w:caps w:val="false"/>
          <w:smallCaps w:val="false"/>
          <w:sz w:val="20"/>
        </w:rPr>
        <w:t>Withholding Amounts</w:t>
      </w:r>
      <w:r>
        <w:rPr>
          <w:rFonts w:ascii="Times New Roman;Times;Serif" w:hAnsi="Times New Roman;Times;Serif"/>
          <w:b w:val="false"/>
          <w:i w:val="false"/>
          <w:caps w:val="false"/>
          <w:smallCaps w:val="false"/>
          <w:sz w:val="20"/>
        </w:rPr>
        <w:t>”) as Parent, the Company (and the Surviving Corporation from and after the Closing), and their respective Affiliates, agents and designees, as applicable, thereof is required to deduct and withhold under the Code, or any provision of state, local or non-U.S. Tax Law and to timely and properly remit (or to have the Company (and the Surviving Corporation, from and after the Closing) remit through their payroll systems) such Withholding Amounts to the appropriate Governmental Body. To the extent that such Withholding Amounts are so withheld and paid to the applicable Governmental Body, such Withholding Amounts will be treated for all purposes of this Agreement as having been paid to the Person with respect to which such withholding and deduction was made. Parent shall notify the Sellers of the amount of, and reason for, any withholding, and shall provide the Sellers with a reasonable opportunity to provide any applicable exemption certificate or other information or documentation to establish an exemption from withholding or reduction in the amount of withholding, prior to withholding any amounts pursuant to this Agreement, provided that Parent shall not be required to delay the Closing pending receipt or review of any such documentation. To the extent any withholding obligation arises with respect to consideration payable in the form of Parent Class A Ordinary Shares or Parent Class B Ordinary Shares, the applicable Seller shall have the right (in its sole discretion) to satisfy such withholding obligation in cash in lieu of any reduction in the number of Parent Class A Ordinary Shares or Parent Class B Ordinary Shares, as applicable, otherwise deliverable, provided that such cash amount is delivered to Parent in immediately available funds no later than the time at which the applicable withholding is required to be remitted.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 AND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12.11(h)</w:t>
      </w:r>
      <w:r>
        <w:rPr>
          <w:rFonts w:ascii="Times New Roman;Times;Serif" w:hAnsi="Times New Roman;Times;Serif"/>
          <w:b w:val="false"/>
          <w:i w:val="false"/>
          <w:caps w:val="false"/>
          <w:smallCaps w:val="false"/>
          <w:sz w:val="20"/>
        </w:rPr>
        <w:t>, except as set forth in the disclosure schedules delivered by the Company to Parent concurrently with the execution of this Agreement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each of the Company and the Sellers jointly and severally represents and warrants to Parent and Merger Sub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all necessary corporate power and authority to conduct its business in the manner in which its business is currently being conducted and to own or lease and use its property and assets in the manner in which its property and assets are currently owned or leased and used.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be reasonably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does not have, and has not since its inception had, 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Organizational Documents</w:t>
      </w:r>
      <w:r>
        <w:rPr>
          <w:rFonts w:ascii="Times New Roman;Times;Serif" w:hAnsi="Times New Roman;Times;Serif"/>
          <w:b w:val="false"/>
          <w:i w:val="false"/>
          <w:caps w:val="false"/>
          <w:smallCaps w:val="false"/>
          <w:sz w:val="20"/>
        </w:rPr>
        <w:t>. The Company has made available to Parent accurate and complete copies of the Organizational Documents of the Company in effect as of the date of this Agreement. The Company is not in breach or violation of any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necessary corporate power and authority to enter into and to perform its obligations under this Agreement and all other Transaction Agreements to which it is or is to be a party, to consummate the transactions contemplated by this Agreement and all other Transaction Agreements to which it is or is to be a party and to perform its obligations hereunder and thereunder. The execution and delivery by the Company of this Agreement and the other Transaction Agreements to which it is or is to be a party and the consummation by the Company of the transactions contemplated by this Agreement and all other Transaction Agreements to which it is or is to be a party have been duly authorized by all necessary action on the part of the Company. This Agreement and the other Transaction Agreements to which the Company is a party have been duly executed and delivered by the Company and, assuming the due authorization, execution and delivery by the Sellers, Parent and Merger Sub and any other counterparty thereto, constitutes a legal, valid and binding obligation of the Company, enforceable against the Company in accordance with its terms, subject to the Enforceability Exceptions.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Board (at a meeting duly called, noticed and held by the requisite quorum and vote or by unanimous consent) has adopted resolutions providing for the Company Board Approval. The delivery of the executed Company Stockholder Consent is the only vote (or consent in lieu of a meeting) of the holders of any class or series of capital stock of the Company necessary to adopt and approve this Agreement and approve the transactions contemplated by this Agreement and all other Transaction Agreements to which the Company is or is to be a party. No other corporate proceedings by the Company are necessary to authorize this Agreement or to consummate the transactions contemplated by this Agreement and all other Transaction Agreements to which the Company is or is to be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Non-Contravention; Consents</w:t>
      </w:r>
      <w:r>
        <w:rPr>
          <w:rFonts w:ascii="Times New Roman;Times;Serif" w:hAnsi="Times New Roman;Times;Serif"/>
          <w:b w:val="false"/>
          <w:i w:val="false"/>
          <w:caps w:val="false"/>
          <w:smallCaps w:val="false"/>
          <w:sz w:val="20"/>
        </w:rPr>
        <w:t xml:space="preserve">. Subject to the filing of the Certificate of Merger required by the DGCL, except as set forth on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the Company Disclosure Schedule, neither (x) the execution, delivery or performance by the Company of this Agreement or any other Transaction Agreement to which it is a party, nor (y) the consummation of the transactions contemplated by this Agreement and the other Transaction Agreements, will directly or indirectly (with or without notice or lapse of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contravene, conflict with or result in a violation of any of the provisions of the Company’s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contravene, conflict with or result in a violation of any Law or any order, writ, injunction, judgment or decree to which the Company, or any of the assets owned or used by the Company, is subject, except as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contravene, conflict with or result in a violation or breach of, or result in a default under, any provision of any Company Material Contract, or give any Person the right to: (i) declare a default or exercise any remedy under any Company Material Contract; (ii) receive any material payment, rebate, chargeback, penalty or change in delivery schedule under any Company Material Contract; (iii) accelerate the maturity or performance of any Company Material Contract; or (iv) cancel, terminate or modify any term of any Company Material Contract, except as would not reasonably be expected to have a Company Material Adverse Effect;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result in the imposition or creation of any Encumbrance upon or with respect to any asset owned or used by the Company (except for Permitted Encumbrances), except as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(i) any Consent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the Company Disclosure Schedule, (ii) the filing of the Certificate of Merger with the Secretary of State of the State of Delaware pursuant to the DGCL, and (iii) such consents, waivers, approvals, orders, authorizations, registrations, declarations and filings as may be required under applicable federal and state securities Laws, the Company is not and will not be required to make any filing with or give any notice to, or to obtain any Consent from, any Person in connection with (A) the execution, delivery or performance of this Agreement, or (B) the consummation of the transactions contemplated by this Agreement and the other Transaction Agreements. The restrictions contained in Section 203 of the DGCL are not applicable to the Company by reason of Section 203(b)(4) of the DGCL because the Company does not have a class of voting stock that is (x) listed on a national securities exchange or (y) held of record by more than 2,000 stockholders, and the Company has not elected by provision of its certificate of incorporation to be governed by Section 203 of the DGCL. No other Takeover Statute applies or purports to apply to the Merger, this Agreement or any of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Company Common Stock as of the date of this Agreement consists of 12,000,000 shares of Company Common Stock, $0.00001 par value per share, of which 10,000,000 shares have been issued and are outstanding as of the date of this Agreement (5,000,000 shares held by Tao and 5,000,000 shares held by James). The Company has no authorized or outstanding shares of any other class or series of capital stock. The Company does not hold any shares of its capital stock in its treasury.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of the Company Disclosure Schedule lists, as of the date of this Agreement, each record holder of issued and outstanding shares of Company Common Stock and the number and type of shares of Company Common Stock held by such holder, including the number of vested and unvested shares held by each such holder as of the date of this Agreement pursuant to the Common Stock Purchase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shares of Company Common Stock have been duly authorized, validly issued, fully paid, and nonassessable. Except as set forth in the Common Stock Purchase Agreements,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for this Agreement, the Common Stock Purchase Agreements, the Option Agreements, and the SAFE Agreements there is (x) no Company Contract relating to the voting or registration of, or restricting any Person from purchasing, selling, pledging or otherwise disposing of (or granting any option or similar right with respect to), any shares of Company Common Stock and (y) no contracts with one or more current or prospective stockholders of the Company (or one or more beneficial owners of capital stock of the Company), in its or their capacity as such, within the meaning of Section 122(18) of the DGCL. The Company is not under any obligation, nor is it bound by any Contract pursuant to which it may become obligated, to repurchase, redeem or otherwise acquire any outstanding shares of Company Common Stock or other securities, except pursuant to (i) the repurchase options set forth in the Common Stock Purchase Agreements or (ii) the payment obligations arising upon a Liquidity Event or Dissolution Event (each as defined in the SAFE Agreements) pursuant to the SAFE Agreements.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of the Company Disclosure Schedule accurately and completely lists all repurchase rights held by the Company with respect to shares of Company Common Stock (including shares issued pursuant to the Common Stock Purchase Agreements and shares issued pursuant to the exercise of stock options), specifies which of those repurchase rights are currently exercisable, sets forth the number of vested and unvested shares subject to each such repurchase right as of the date of this Agreement, and specifies whether the holder of such shares of Company Common Stock timely filed an election with the relevant Governmental Bodies under Section 83(b) of the Code with respect to such shares. Each holder of shares subject to a repurchase option under the Common Stock Purchase Agreements has been subject to a market standoff covenant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of the applicable Common Stock Purchase Agreement, and the Company has not waived or modified any such covenant.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for the Company Options, the Company does not have any stock option plan or any other plan, program, agreement or arrangement providing for any equity-based compensation for any Person. As of the date of this Agreement, the Company has reserved an aggregate of 595,000 shares of Company Common Stock for issuance pursuant to options granted to the Option Holders pursuant to the Option Agreements.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of the Company Disclosure Schedule sets forth the following information, as applicable, with respect to each Company Option outstanding as of the date of this Agreement: (i) the name of the award recipient; (ii) the number of shares of Company Common Stock subject to such Company Option at the time of grant; (iii) the number of shares of Company Common Stock subject to such Company Option as of the date of this Agreement; (iv) the exercise price of such Company Option; (v) the date on which such Company Option was granted; (vi) the applicable vesting schedule, including the number of vested and unvested shares as of the date of this Agreement and any acceleration provisions; (vii) the date on which such Company Option expires; and (viii) whether such Company Option is intended to constitute an “incentive stock option” (as defined in the Code) or a non-qualified stock option. The Company has made available to Parent accurate and complete copies of each of the Option Agreements (including all amendments thereto). Each Company Option has been granted with an exercise price equal to or greater than fair market value of the underlying share of Company Common Stock as of the date of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Company Options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of the Company Disclosure Schedule and the SAFE Agreements,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outstanding shares of Company Common Stock, Company Options and other securities of the Company have been issued and granted in (i) compliance with the DGCL and the Organizational Documents of the Company in effect as of the relevant time, (ii) material compliance with all applicable securities Laws and other applicable Law, and (iii) material compliance with all requirements set forth in applicable Contracts. Each Company Option (i) has an exercise price per share of Company Common Stock equal to or greater than the fair market value of a share of Company Common Stock on the date of such grant, (ii) has a grant date that is not prior to the date on which the Company Board or a duly authorized committee thereof granted or awarded such Company Option and (iii) qualifies for the Tax and accounting treatment afforded to such Company Option in the Company’s Tax Returns and the Company Financials,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distributions, dividends, repurchases and redemptions of the Company Common Stock or other equity interests of the Company were undertaken in (i) compliance with the DGCL, Delaware common law and the Organizational Documents of the Company in effect as of the relevant time, (ii) material compliance with all applicable securities Laws and other applicable Laws, and (iii) material compliance with all requirements set forth in applicable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provided to Parent true and complete copies of (i) the unaudited balance sheet of the Company and the unaudited statements of operations and cash flows of the Company as of and for the fiscal year ended December 31, 2025 and (ii) the unaudited balance sheet of the Company as of the six (6) months ending June 30, 2026 (the “</w:t>
      </w:r>
      <w:r>
        <w:rPr>
          <w:rFonts w:ascii="Times New Roman;Times;Serif" w:hAnsi="Times New Roman;Times;Serif"/>
          <w:b/>
          <w:i w:val="false"/>
          <w:caps w:val="false"/>
          <w:smallCaps w:val="false"/>
          <w:sz w:val="20"/>
        </w:rPr>
        <w:t>Company Unaudited Interim Balance Sheet</w:t>
      </w:r>
      <w:r>
        <w:rPr>
          <w:rFonts w:ascii="Times New Roman;Times;Serif" w:hAnsi="Times New Roman;Times;Serif"/>
          <w:b w:val="false"/>
          <w:i w:val="false"/>
          <w:caps w:val="false"/>
          <w:smallCaps w:val="false"/>
          <w:sz w:val="20"/>
        </w:rPr>
        <w:t>”), together with the unaudited statements of operations and cash flows of the Company for the period reflected in the Company Unaudited Interim Balance Sheet ((i) and (ii) collectively, the “</w:t>
      </w:r>
      <w:r>
        <w:rPr>
          <w:rFonts w:ascii="Times New Roman;Times;Serif" w:hAnsi="Times New Roman;Times;Serif"/>
          <w:b/>
          <w:i w:val="false"/>
          <w:caps w:val="false"/>
          <w:smallCaps w:val="false"/>
          <w:sz w:val="20"/>
        </w:rPr>
        <w:t>Company Financials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Company Disclosure Schedule,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Company’s inception, there have been no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the Company’s inception,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of the Company Disclosure Schedule, since the date of the Company Unaudited Interim Balance Sheet (except for the execution and performance of this Agreement and the discussions, negotiations and transactions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conducted its business only in the Ordinary Course of Business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has not been or occurred any Company Material Adverse Effect or any event, condition, change, or effect that could reasonably be expected to have a Company Material Adverse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there has been no action, event or occurrence that would have required the consent of Parent pursuant to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had such action, event or occurrence taken place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As of the date hereof, the Company has no material liability, indebtedness, obligation or expense of any kind, whether accrued, absolute, contingent, matured or unmatured (whether or not required to be reflected in the financial statements in accordance with GAAP) (each a “</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xml:space="preserve">”), individually or in the aggregate, except for: (a) Liabilities disclosed, reflected or reserved against in the Company Unaudited Interim Balance Sheet; (b) Liabilities that have been incurred by the Company since the date of the Company Unaudited Interim Balance Sheet in the Ordinary Course of Business; (c) Liabilities incurred in connection with the Contemplated Transactions; (d) Liabilities which would not, individually or in the aggregate, reasonably be expected to be material to the Company; and (e) Liabilities described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The Company owns, and has good and valid title to, or, in the case of leased properties and assets, valid leasehold interests in, all tangible properties or tangible assets and equipment used or held for use in its business or operations or purported to be owned by it that are material to the Company or its business, including: (a) all tangible assets reflected on the Company Unaudited Interim Balance Sheet; and (b) all other tangible assets reflected in the books and records of the Company as being owned by the Company. All of such assets are owned or, in the case of leased assets, leased by the Company free and clear of any Encumbrances, other than Permitted Encumbrances. The Company does not own any computing infrastructure that is material to the operation of its business; the Company’s access to such infrastructure is dependent on third-party leasing arrangements that may be subject to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i w:val="false"/>
          <w:caps w:val="false"/>
          <w:smallCaps w:val="false"/>
          <w:sz w:val="20"/>
          <w:u w:val="single"/>
        </w:rPr>
        <w:t>Real Property; Leasehold</w:t>
      </w:r>
      <w:r>
        <w:rPr>
          <w:rFonts w:ascii="Times New Roman;Times;Serif" w:hAnsi="Times New Roman;Times;Serif"/>
          <w:b w:val="false"/>
          <w:i w:val="false"/>
          <w:caps w:val="false"/>
          <w:smallCaps w:val="false"/>
          <w:sz w:val="20"/>
        </w:rPr>
        <w:t xml:space="preserve">. The Company does not own and has never owned any real property.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Company Disclosure Schedule sets forth (a) an accurate and complete list of all real properties with respect to which the Company directly or indirectly holds a leasehold interest as well as any other real estate that is in the possession of, or occupied or leased by, the Company and (b) copies of all leases under which any such real property is possessed, occupied or leased (the “</w:t>
      </w:r>
      <w:r>
        <w:rPr>
          <w:rFonts w:ascii="Times New Roman;Times;Serif" w:hAnsi="Times New Roman;Times;Serif"/>
          <w:b/>
          <w:i w:val="false"/>
          <w:caps w:val="false"/>
          <w:smallCaps w:val="false"/>
          <w:sz w:val="20"/>
        </w:rPr>
        <w:t>Company Real Estate Leases</w:t>
      </w:r>
      <w:r>
        <w:rPr>
          <w:rFonts w:ascii="Times New Roman;Times;Serif" w:hAnsi="Times New Roman;Times;Serif"/>
          <w:b w:val="false"/>
          <w:i w:val="false"/>
          <w:caps w:val="false"/>
          <w:smallCaps w:val="false"/>
          <w:sz w:val="20"/>
        </w:rPr>
        <w:t>”), each of which is valid and in full force and effect, with no existing material default thereunder.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of the Company Disclosure Schedule identifies each item of Registered IP owned in whole or in part by the Company, including, with respect to each registration and application: (i) the name of the applicant/registrant, (ii) the jurisdiction of application/registration, (iii) the application or registration number and (iv) any other co-owners. The Company does not own any patents.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the Company and the Sellers, threatened in writing, in which the scope, validity, enforceability or ownership of any Company IP is being or has been contested or challenged. To the Knowledge of the Company and the Sellers, each item of Company IP is valid and enforceable, and with respect to the Company’s Registered IP, subsisting.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of the Company Disclosure Schedule, (i) the Company exclusively owns, is the sole assignee of, or has licensed all material Company IP, free and clear of all Encumbrances other than Permitted Encumbrances; (ii) the Company IP and the Intellectual Property Rights licensed to the Company pursuant to a valid, enforceable written agreement constitute all Intellectual Property Rights used in, material to or otherwise necessary for the operation of the Company’s business as currently conducted; (iii)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and (iv) each Company Associate who has or has had access to the Company’s trade secrets or confidential information has signed a valid and enforceable written agreement containing confidentiality provisions protecting the Company IP, trade secrets and confidential information. The Company has taken commercially reasonable steps to protect and preserve the confidentiality of its trade secrets and confidential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funding, facilities or personnel of any Governmental Body or any university, college, research institute or other educational institution has been used to create Company IP, except for any such funding or use of facilities or personnel that does not result in such Governmental Body or institution obtaining ownership rights or a license to such Company IP or the right to receive royalties for the practice of such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(each a “</w:t>
      </w:r>
      <w:r>
        <w:rPr>
          <w:rFonts w:ascii="Times New Roman;Times;Serif" w:hAnsi="Times New Roman;Times;Serif"/>
          <w:b/>
          <w:i w:val="false"/>
          <w:caps w:val="false"/>
          <w:smallCaps w:val="false"/>
          <w:sz w:val="20"/>
        </w:rPr>
        <w:t>Company In-bound License</w:t>
      </w:r>
      <w:r>
        <w:rPr>
          <w:rFonts w:ascii="Times New Roman;Times;Serif" w:hAnsi="Times New Roman;Times;Serif"/>
          <w:b w:val="false"/>
          <w:i w:val="false"/>
          <w:caps w:val="false"/>
          <w:smallCaps w:val="false"/>
          <w:sz w:val="20"/>
        </w:rPr>
        <w:t>”) or (ii) grants to any third party a license under any material Company IP or material Intellectual Property Right licensed to the Company under a Company In-bound License (each a “</w:t>
      </w:r>
      <w:r>
        <w:rPr>
          <w:rFonts w:ascii="Times New Roman;Times;Serif" w:hAnsi="Times New Roman;Times;Serif"/>
          <w:b/>
          <w:i w:val="false"/>
          <w:caps w:val="false"/>
          <w:smallCaps w:val="false"/>
          <w:sz w:val="20"/>
        </w:rPr>
        <w:t>Company Out-bound License</w:t>
      </w:r>
      <w:r>
        <w:rPr>
          <w:rFonts w:ascii="Times New Roman;Times;Serif" w:hAnsi="Times New Roman;Times;Serif"/>
          <w:b w:val="false"/>
          <w:i w:val="false"/>
          <w:caps w:val="false"/>
          <w:smallCaps w:val="false"/>
          <w:sz w:val="20"/>
        </w:rPr>
        <w:t>”) (provided, that, Company In-bound Licenses shall not include, when entered into in the Ordinary Course of Business, material transfer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services agreements, non-disclosure agreements, or non-exclusive outbound licenses). To the Knowledge of the Company and the Sellers, all Company In-bound Licenses and Company Out-bound Licenses are in full force and effect and are valid, enforceable and binding obligations of the Company and each other party to such Company In-bound Licenses or Company Out-bound Licenses. Neither the Company, nor to the Knowledge of the Company and the Sellers, any other party to such Company In-bound Licenses or Company Out-bound Licenses, is in material breach under any Company In-bound Licenses or Company Out-bound Licenses.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and the Sellers: (i) the operation of the business of the Company as currently conducted does not infringe, misappropriate or otherwise violate any Intellectual Property Rights of any other Person and (ii) no other Person is infringing, misappropriating or otherwise violating any Company IP or any Intellectual Property Rights exclusively licensed to the Company. No Legal Proceeding is pending (or, to the Knowledge of the Company and the Sellers, is threatened in writing) (A) against the Company alleging that the operation of the business of the Company infringes or constitutes the misappropriation or other violation of any Intellectual Property Rights of another Person or (B) by the Company alleging that another Person has infringed, misappropriated or otherwise violated any of the Company IP or any Intellectual Property Rights exclusively licensed to the Company. Since the Company’s inception, the Company has not received any written notice or other written communication alleging that the operation of the business of the Company infringes or constitutes the misappropriation or other violation of any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IP or, to the Knowledge of the Company and the Sellers, any material Intellectual Property Rights exclusively licensed to the Company is subject to any pending or outstanding injunction, directive, order, judgment or other disposition of dispute that adversely and materially restricts the use, transfer, registration or licensing by the Company of any such Company IP or material Intellectual Property Rights exclusively licensed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the operation of the Company’s business are in substantial compliance with all Laws pertaining to data privacy and data security of any personally identifiable information or sensitive business information (collectively, “</w:t>
      </w:r>
      <w:r>
        <w:rPr>
          <w:rFonts w:ascii="Times New Roman;Times;Serif" w:hAnsi="Times New Roman;Times;Serif"/>
          <w:b/>
          <w:i w:val="false"/>
          <w:caps w:val="false"/>
          <w:smallCaps w:val="false"/>
          <w:sz w:val="20"/>
        </w:rPr>
        <w:t>Sensitive Data</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2.11(g)</w:t>
      </w:r>
      <w:r>
        <w:rPr>
          <w:rFonts w:ascii="Times New Roman;Times;Serif" w:hAnsi="Times New Roman;Times;Serif"/>
          <w:b w:val="false"/>
          <w:i w:val="false"/>
          <w:caps w:val="false"/>
          <w:smallCaps w:val="false"/>
          <w:sz w:val="20"/>
        </w:rPr>
        <w:t xml:space="preserve"> of the Company Disclosure Schedule. To the Knowledge of the Company and the Sellers, there have been (i) no losses or thefts of data or security breaches relating to Sensitive Data used in the business of the Company, (ii) no violations of any security policy of the Company regarding any such Sensitive Data used in the business of the Company, and (iii) no unauthorized access, unauthorized use or unintended or improper disclosure of any Sensitive Data used in the business of the Company. The Company has taken commercially reasonable steps and implemented reasonable disaster recovery and security plans and procedures to protect the information technology systems used in, material to or necessary for operation of the Company’s business as currently conducted from unauthorized use or access, except as set forth in </w:t>
      </w:r>
      <w:r>
        <w:rPr>
          <w:rFonts w:ascii="Times New Roman;Times;Serif" w:hAnsi="Times New Roman;Times;Serif"/>
          <w:b w:val="false"/>
          <w:i w:val="false"/>
          <w:caps w:val="false"/>
          <w:smallCaps w:val="false"/>
          <w:sz w:val="20"/>
          <w:u w:val="single"/>
        </w:rPr>
        <w:t>Section 2.11(g)</w:t>
      </w:r>
      <w:r>
        <w:rPr>
          <w:rFonts w:ascii="Times New Roman;Times;Serif" w:hAnsi="Times New Roman;Times;Serif"/>
          <w:b w:val="false"/>
          <w:i w:val="false"/>
          <w:caps w:val="false"/>
          <w:smallCaps w:val="false"/>
          <w:sz w:val="20"/>
        </w:rPr>
        <w:t xml:space="preserve"> of the Company Disclosure Schedule. To the Knowledge of the Company and the Sellers, there have been no material malfunctions or unauthorized intrusions or breaches of the information technology systems used in, material to or necessary for the operation of the Company’s business as currently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of the Company Disclosure Schedule lists the following Company Contracts in effect as of the date of this Agreement other than any Company Benefit Plans (each,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Company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Company Contract relating to any agreement of indemnification or guaranty not entered into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Company Contract containing (A) any covenant limiting the freedom of the Company or the Surviving Corporation to engage in any line of business or compete with any Person, (B) any most-favored pricing arrangement or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or (D) any non-solicitation provision;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Company Contract relating to the disposition or acquisition of material assets or any ownership interest in any Entity, except as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Company Contract relating to any mortgages, indentures, loans, notes or credit agreements, security agreements or other agreements or instruments relating to the borrowing of money or extension of credit or creating any material Encumbrances with respect to any assets of the Company or any loans or debt obligations with officers or directors of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Company Contract with any financial advisor, broker, finder, investment banker or other similar Person providing financial advisory services to the Company in connection with the Contemplated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Company Real Estate Lease;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Company Contract with any Governmental Body;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Company Out-bound License and Company In-bound License, and each Company Contract containing a covenant not to sue or otherwise enforce any Intellectual Property Rights, other than Contracts containing standard form non-disclosure agreements or licenses for unmodified commercially available off the shelf software;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Company Contract containing any royalty, dividend or similar arrangement based on the revenues or profits of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Company Contract, offer letter, or employment agreement, or independent contractor agreement with any employee or service provider whose annual compensation equals or exceeds $100,000 that (A) is not immediately terminable by the Company without notice, severance, or other cost or liability, except as required under applicable Law, or (B) provides for retention payments, change-of-control payments, severance, accelerated vesting, or any similar payment or benefit that may or will become due as a result of the Merger;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Company Contract entered into in settlement of any Legal Proceeding or other dispute with respect to which the Company has any outstanding monetary obligations as of the Closing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other Company Contract, excluding Company Contracts relating to Company employees or independent contractors, that is not terminable at will (regardless of whether notice is required to exercise such termination right and with no penalty or payment or requirement for prior notice) by the Company, and (A) which involves payment or receipt by the Company after the date of this Agreement under any such agreement, Contract or commitment of more than $200,000 in the aggregate, or obligations after the date of this Agreement in excess of $200,000 in the aggregate, or (B) that is material to the business or operations of the Company, taken as a whole.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delivered or made available to Parent accurate and complete copies of all Company Material Contracts, including all amendments thereto. Except as set forth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of the Company Disclosure Schedule, there are no Company Material Contracts. Neither the Company nor, to the Knowledge of the Company and the Sellers,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except as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of the Company Disclosure Schedule. As to the Company, as of the date of this Agreement, each Company Material Contract is valid, binding, enforceable and in full force and effect, subject to the Enforceability Exceptions, except as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of the Company Disclosure Schedule. No Person is renegotiating, or has a right pursuant to the terms of any Company Material Contract to change, any material amount paid or payable to the Company under any Company Material Contract or any other material term or provision of any Company Material Contract, and no Person has indicated in writing to the Company that it desires to renegotiate, modify, not renew or cancel any Company Material Contract, except as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i w:val="false"/>
          <w:caps w:val="false"/>
          <w:smallCaps w:val="false"/>
          <w:sz w:val="20"/>
          <w:u w:val="single"/>
        </w:rPr>
        <w:t>Compliance; Permits;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at all times since the Company’s inception has been, in compliance in all material respects with all applicable Laws, except as set forth in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 xml:space="preserve"> of the Company Disclosure Schedule. Without limiting the generality of the foregoing, the Company is in compliance in all material respects with all applicable export control Laws (including the Export Administration Regulations and the regulations administered by the Bureau of Industry and Security of the U.S. Department of Commerce) and economic sanctions Laws (including those administered by the Office of Foreign Assets Control of the U.S. Department of the Treasury), except as set forth in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 xml:space="preserve"> of the Company Disclosure Schedule. No Legal Proceeding is pending or, to the Knowledge of the Company and the Sellers,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The Company has not received any written notice of any non-compliance or investigation relating to any violation or threat to be charged with any non-compliance of any Law except for such instances of non-compliance which would not, individually or in the aggregate, be material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holds all required Governmental Authorizations which are material to the operation of the business of the Company as currently conducted (the “</w:t>
      </w:r>
      <w:r>
        <w:rPr>
          <w:rFonts w:ascii="Times New Roman;Times;Serif" w:hAnsi="Times New Roman;Times;Serif"/>
          <w:b/>
          <w:i w:val="false"/>
          <w:caps w:val="false"/>
          <w:smallCaps w:val="false"/>
          <w:sz w:val="20"/>
        </w:rPr>
        <w:t>Company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xml:space="preserve"> of the Company Disclosure Schedule identifies each Company Permit. Each such Company Permit is valid and in full force and effect, and the Company is in material compliance with the terms of the Company Permits. No Legal Proceeding is pending or, to the Knowledge of the Company and the Sellers, threatened, which seeks to revoke, limit, suspend, or materially modify any Company Permit.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there is no material pending Legal Proceeding and, to the Knowledge of the Company and the Sellers, no Person has threatened in writing to commence any Legal Proceeding: (i) that involves (A) the Company, (B) any Company Associate (in his or her capacity as such) or (C) any of the material assets owned or used by the Company; or (ii) that challenges, or that would have the effect of preventing, delaying, making illegal or otherwise interfering with,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Company’s inception through the date of this Agreement, no Legal Proceeding has been pending against the Company that resulted in material liability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xml:space="preserve"> of the Company Disclosure Schedule, the Company has timely filed all material Tax Returns that were required to be filed by or with respect to it under applicable Law. All such Tax Returns are correct and complete in all material respects and have been prepared in compliance with all applicable Law. No claim has ever been made by any Governmental Body in any jurisdiction where the Company does not file a particular Tax Return or pay a particular Tax that the Company is required to file a Tax Return or pay a Tax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the Company (whether or not shown on any Tax Return) have been fully and timely paid. The unpaid Taxes of the Company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Since the date of the Company Unaudited Interim Balance Sheet, the Company has not incurred any material Liability for Taxes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Taxes that the Company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material Taxes (other than Taxes not yet due and payable) upon any of the assets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deficiencies for a material amount of Taxes with respect to the Company have been claimed, proposed or assessed by any Governmental Body in writing, except as set forth in </w:t>
      </w:r>
      <w:r>
        <w:rPr>
          <w:rFonts w:ascii="Times New Roman;Times;Serif" w:hAnsi="Times New Roman;Times;Serif"/>
          <w:b w:val="false"/>
          <w:i w:val="false"/>
          <w:caps w:val="false"/>
          <w:smallCaps w:val="false"/>
          <w:sz w:val="20"/>
          <w:u w:val="single"/>
        </w:rPr>
        <w:t>Section 2.15(e)</w:t>
      </w:r>
      <w:r>
        <w:rPr>
          <w:rFonts w:ascii="Times New Roman;Times;Serif" w:hAnsi="Times New Roman;Times;Serif"/>
          <w:b w:val="false"/>
          <w:i w:val="false"/>
          <w:caps w:val="false"/>
          <w:smallCaps w:val="false"/>
          <w:sz w:val="20"/>
        </w:rPr>
        <w:t xml:space="preserve"> of the Company Disclosure Schedule. There are no pending or ongoing and, to the Knowledge of the Company and the Sellers, no threatened audits, assessments or other actions for or relating to any liability in respect of a material amount of Taxes of the Company, except as set forth in </w:t>
      </w:r>
      <w:r>
        <w:rPr>
          <w:rFonts w:ascii="Times New Roman;Times;Serif" w:hAnsi="Times New Roman;Times;Serif"/>
          <w:b w:val="false"/>
          <w:i w:val="false"/>
          <w:caps w:val="false"/>
          <w:smallCaps w:val="false"/>
          <w:sz w:val="20"/>
          <w:u w:val="single"/>
        </w:rPr>
        <w:t>Section 2.15(e)</w:t>
      </w:r>
      <w:r>
        <w:rPr>
          <w:rFonts w:ascii="Times New Roman;Times;Serif" w:hAnsi="Times New Roman;Times;Serif"/>
          <w:b w:val="false"/>
          <w:i w:val="false"/>
          <w:caps w:val="false"/>
          <w:smallCaps w:val="false"/>
          <w:sz w:val="20"/>
        </w:rPr>
        <w:t xml:space="preserve"> of the Company Disclosure Schedule. Neither the Company nor any of its predecessors has waived any statute of limitations or agreed to any extension of time with respect to any income or other material Tax assessment or deficiency.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not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not be required to include or accelerate any item of income in, or exclude or defer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non-U.S. Law) executed on or prior to the Closing Date; (iv) intercompany transaction or excess loss account described in Treasury Regulations under Section 1502 of the Code (or any similar provision of state, local or non-U.S. Law); (v) installment sale or open transaction disposition made on or prior to the Closing Date; (vi) prepaid amount, advance payment or deferred revenue received or accrued on or prior to the Closing Date; (vii) application of Section 367(d) of the Code to any transfer of intangible property on or prior to the Closing Date; (viii) application of Sections 951 or 951A of the Code (or any similar provision of state, local or non-U.S. Law) to any income received or accrued on or prior to the Closing Date; or (ix) election under Section 108(i) of the Code (or any similar provision of state, local or non-U.S. Law). The Company has no unpaid deferred employment Taxes under the CARES Act, has not claimed, or applied for an employee retention tax credit, and has not taken out any loan, received any loan assistance or received any other financial assistance, or requested any of the foregoing, in each case under the CARES Act, including pursuant to the SBA Paycheck Protection Program or the Economic Injury Disaster Loan Program. The Company has not made any election under Section 965(h)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 Liability for any material Taxes of any Person (other than the Company) under Treasury Regulations Section 1.1502-6 (or any similar provision of state, local, or non-U.S. Law), as a transferee or successor, by Contract (other than customary commercial contracts entered into in the Ordinary Course of Business the principal subject matter of which is not Taxes)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has never distributed stock of another Person, or had its stock distributed by another Person, in a transaction that was purported or intended to be governed in whole or in part by Section 355 of the Code or Section 361 of the Code (or any similar provisions of state, local or non-U.S.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has not participated in or been a party to a transaction that, as of the date of this Agreement, constitutes a “reportable transaction” within the meaning of Section 6707A(c) of the Code and Treasury Regulations Section 1.6011-4(b).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Knowledge of the Company and the Sellers, the Company has not taken any action (or agreed to take any action) or become aware of any fact that would reasonably be expected to prevent or impede the Merger from qualifying for the Intended Tax Treatment.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currently and has at all times since its formation been classified as a “C corporation” pursuant to Section 1361(a)(2) of the Code for U.S. federal and applicable state and local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each reference to the Company shall be deemed to include any Person that was liquidated into, merged with, or is otherwise a predecessor to, the Company. With the exception of the first sentence of </w:t>
      </w:r>
      <w:r>
        <w:rPr>
          <w:rFonts w:ascii="Times New Roman;Times;Serif" w:hAnsi="Times New Roman;Times;Serif"/>
          <w:b w:val="false"/>
          <w:i w:val="false"/>
          <w:caps w:val="false"/>
          <w:smallCaps w:val="false"/>
          <w:sz w:val="20"/>
          <w:u w:val="single"/>
        </w:rPr>
        <w:t>Section 2.15(h)</w:t>
      </w:r>
      <w:r>
        <w:rPr>
          <w:rFonts w:ascii="Times New Roman;Times;Serif" w:hAnsi="Times New Roman;Times;Serif"/>
          <w:b w:val="false"/>
          <w:i w:val="false"/>
          <w:caps w:val="false"/>
          <w:smallCaps w:val="false"/>
          <w:sz w:val="20"/>
        </w:rPr>
        <w:t xml:space="preserve">, (1) the representations and warranties set forth in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are made solely with respect to facts, events and circumstances existing on or prior to the Closing Date, and (2) no representation or warranty is made with respect to: (i) any Tax liability, Tax position, or Tax consequence arising from or attributable to any action taken or omitted to be taken by Parent, the Surviving Corporation, or any of their respective Affiliates after the Closing Date; or (ii) the availability, amount or utilization of any Tax attribute of the Surviving Corporation after the Closing Date to the extent resulting from (x) any action taken or omitted to be taken by Parent, the Surviving Corporation, or any of their respective Affiliates after the Closing Date, (y) any change in applicable Law after the Closing Date, or (z) any other matter arising solely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Company Disclosure Schedule is a list of all material Company Benefit Plans (except for employment agreements and offer letters with annual base compensation in excess of $150,000 that (i) are not terminable on less than thirty (30) days’ advance notice by the Company, or (ii) provide for retention payments, change of control payments, severance, accelerated vesting, or any similar payment or benefit that will become due as a result of the Merger, other than through a plan, program, policy, arrangement or agreement listed on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Company Disclosure Schedule). “</w:t>
      </w:r>
      <w:r>
        <w:rPr>
          <w:rFonts w:ascii="Times New Roman;Times;Serif" w:hAnsi="Times New Roman;Times;Serif"/>
          <w:b/>
          <w:i w:val="false"/>
          <w:caps w:val="false"/>
          <w:smallCaps w:val="false"/>
          <w:sz w:val="20"/>
        </w:rPr>
        <w:t>Company Benefit Plan</w:t>
      </w:r>
      <w:r>
        <w:rPr>
          <w:rFonts w:ascii="Times New Roman;Times;Serif" w:hAnsi="Times New Roman;Times;Serif"/>
          <w:b w:val="false"/>
          <w:i w:val="false"/>
          <w:caps w:val="false"/>
          <w:smallCaps w:val="false"/>
          <w:sz w:val="20"/>
        </w:rPr>
        <w:t>” means each (i) “employee benefit plan” as defined in Section 3(3) of ERISA, and (ii) other pension, retirement, deferred compensation, excess benefit, profit sharing, bonus, commission, equity or equity-based incentive, phantom equity, severance, change-of-control, retention, health, life, disability, group insurance, paid time off, holiday, welfare and fringe benefit plan or program, in each case, sponsored, maintained, administered, contributed to, or required to be contributed to, by the Company for the benefit of any current or former employee, director, officer or independent contractor of the Company or under which the Company has any actual or contingent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applicable with respect to each material Company Benefit Plan, the Company has made available to Parent true and complete copies of (i) each material Company Benefit Plan, including all amendments thereto, (ii) all current trust documents, custodial agreements, and insurance contracts relating thereto, (iii) the current summary plan description and each summary of material modifications thereto, (iv) the most recently filed annual reports with any Governmental Body (e.g., Form 5500 and all schedules thereto), (v) the most recent IRS determination, opinion or advisory letter, (vi) the most recent summary annual reports, nondiscrimination testing reports, actuarial reports, financial statements and trustee reports, and (vii) all notices and filings from the IRS or Department of Labor or other Governmental Body concerning audits, investigations, plan corrections or “prohibited transactions” within the meaning of Section 406 of ERISA or Section 4975 of the Code within the prior three (3)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material Company Benefit Plan has been maintained, operated and administered in compliance in all material respects with its terms and the applicable provisions of ERISA, the Code and all other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Benefit Plans which are “employee pension benefit plans” within the meaning of Section 3(2) of ERISA and which are intended to meet the qualification requirements of Section 401(a) of the Code have received or are entitled to rely on determination or opinion letters from the IRS to the effect that such plans are qualified under Section 401(a) of the Code and the related trusts are exempt from federal income Taxes under Section 501(a) of the Code, respectively, and, to the Knowledge of the Company and the Sellers, nothing has occurred that would reasonably be expected to materially adversely affect the qualification of such Company Benefit Plan or the tax exempt status of the related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ERISA Affiliate has maintained, established, participated in, contributed to, has been required to contribute to, or has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audits or investigations by any Governmental Body involving any Company Benefit Plan, and no pending or, to the Knowledge of the Company and the Sellers, threatened claims (except for routine individual claims for benefits payable in the normal operation of the Company Benefit Plans), suits or proceedings involving any Company Benefit Plan, or, to the Knowledge of the Company and the Sellers, any fiduciary thereof, in any case except as would not be reasonably expected to result in material liability to the Company. All contributions and premium payments required to have been made under any of the Company Benefit Plans or by applicable Law (without regard to any waivers granted under Section 412 of the Code), have been timely made and the Company has no material liability for any unpaid contributions with respect to any Company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to the Knowledge of the Company and the Sellers, any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406 of ERISA or Section 4975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Benefit Plan provides death, medical, dental, vision, life insurance or other welfare benefits beyond termination of service or retirement other than coverage mandated by Law or coverage that is provided through the end of the month following termination of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execution of this Agreement, nor the performance of the Contemplated Transactions (either alone or when combined with the occurrence of any other event, including without limitation, a termination of employment), will: (i) result in any payment becoming due to any current or former employee, director, officer, or independent contractor of the Company, pursuant to any Company Benefit Plan or otherwise, (ii) increase any amount of compensation or benefits otherwise payable under any Company Benefit Plan or otherwise, or (iii) result in the acceleration of the time of payment, funding or vesting of any benefits under any Company Benefit Plan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Company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the Company of any payment or benefit that is or could be characterized as a “parachute payment” (within the meaning of Code Section 280G), determined without regard to the application of Code Section 280G(b)(5).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current or former employee, officer, director or independent contractor of the Company has any “gross up” agreements with the Company or other assurance of reimbursement by the Company for any Taxes imposed under Code Section 409A or Code Section 4999.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Section 2.16(l)</w:t>
      </w:r>
      <w:r>
        <w:rPr>
          <w:rFonts w:ascii="Times New Roman;Times;Serif" w:hAnsi="Times New Roman;Times;Serif"/>
          <w:b w:val="false"/>
          <w:i w:val="false"/>
          <w:caps w:val="false"/>
          <w:smallCaps w:val="false"/>
          <w:sz w:val="20"/>
        </w:rPr>
        <w:t xml:space="preserve"> of the Company Disclosure Schedule provides a true and correct list, as of the date of this Agreement, containing the names of all current full-time, part-time or temporary employees and independent contractors (and indication as such), and, as applicable: (i) their annual dollar amount of base salary or other base wages, and to the extent calculable, commissions; (ii) dates of employment or service; (iii) title and, with respect to independent contractors, a current written description of such Person’s contracting services, if available; (iv) visa status, if applicable; and (v) with respect to employees, (A) a designation of whether they are classified as exempt or non-exempt for purposes of the Fair Labor Standards Act, as amended (“</w:t>
      </w:r>
      <w:r>
        <w:rPr>
          <w:rFonts w:ascii="Times New Roman;Times;Serif" w:hAnsi="Times New Roman;Times;Serif"/>
          <w:b/>
          <w:i w:val="false"/>
          <w:caps w:val="false"/>
          <w:smallCaps w:val="false"/>
          <w:sz w:val="20"/>
        </w:rPr>
        <w:t>FLSA</w:t>
      </w:r>
      <w:r>
        <w:rPr>
          <w:rFonts w:ascii="Times New Roman;Times;Serif" w:hAnsi="Times New Roman;Times;Serif"/>
          <w:b w:val="false"/>
          <w:i w:val="false"/>
          <w:caps w:val="false"/>
          <w:smallCaps w:val="false"/>
          <w:sz w:val="20"/>
        </w:rPr>
        <w:t>”) and any similar state or federal law and (B) whether such an employee is on leave and, if so, the nature of such leave and expected return date, if known.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and the Sellers, purporting to represent or seeking to represent any employees of the Company, including through the filing of a petition for representation election. There is not and has not been since the Company’s inception, nor is there or has there been since the Company’s inception any threat of, any strike, slowdown, work stoppage, lockout, union election petition, demand for recognition, or any similar activity or dispute or, to the Knowledge of the Company and the Sellers, any union organizing activity, against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and since the Company’s inception has been, in material compliance with all applicable Laws respecting labor, employment, employment practices, and terms and conditions of employment, including worker classification, discrimination, immigration,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with respect to employees of the Company, the Company, since the Company’s inception, has withheld and reported all amounts required by Law to be withheld and reported with respect to wages, salaries and other payments, benefits, or compensation to employees. There are no actions, suits, claims, charges, lawsuits, investigations, audits or administrative matters pending or, to the Knowledge of the Company and the Sellers, threatened in writing against the Company relating to any employee, applicant for employment, or consultant.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Since the Company’s inception, the Company has not implemented any “plant closing” or “mass layoff” of employees that would reasonably be expected to require notification under the WARN Act or any similar state or local Law, no such “plant closing” or “mass layoff” will be implemented before the Closing Date without advance notification to and approval of Parent, and there has been no “employment loss” as defined by the WARN Act within the ninety (90) days prior to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the Knowledge of the Company and the Sellers, no current or former employee or independent contractor of Company is in any material respect in violation of any term of any employment agreement, nondisclosure agreement, common law nondisclosure obligation, fiduciary duty, noncompetition agreement, nonsolicitation agreement, restrictive covenant or other obligation (i) owed to Company or (ii) owed to any third party with respect to such person’s right to be employed or engaged by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is, and since the Company’s inception has been, in compliance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the Company’s inception, any written notice or other communication (in writing or otherwise), whether from a Governmental Body or other Person, that alleges that the Company is not in compliance with or has liability pursuant to any Environmental Law and, to the Knowledge of the Company and the Sellers, there are no circumstances that would reasonably be expected to prevent or interfere with the Company’s compliance with any Environmental Law, except where such failure to comply would not reasonably be expected to be material to the Company or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(a) cancellation or invalidation of any insurance policy; or (b)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2.20(a)</w:t>
      </w:r>
      <w:r>
        <w:rPr>
          <w:rFonts w:ascii="Times New Roman;Times;Serif" w:hAnsi="Times New Roman;Times;Serif"/>
          <w:b w:val="false"/>
          <w:i w:val="false"/>
          <w:caps w:val="false"/>
          <w:smallCaps w:val="false"/>
          <w:sz w:val="20"/>
        </w:rPr>
        <w:t xml:space="preserve"> of the Company Disclosure Schedule describes any material transactions or relationships, since the Company’s inception, between, on one hand, the Company and, on the other hand, any (i) officer or director of the Company or any of such officer’s or director’s immediate family members, (ii) owner of more than 5% of the voting power of the outstanding Company Common Stock or (iii) any “related person” (within the meaning of Item 404 of Regulation S-K under the Securities Act) of any such officer, director or owner (other than the Company) in the case of each of (i), (ii) or (iii) that is of the type that would be required to be disclosed under Item 404 of Regulation S-K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2.20(b)</w:t>
      </w:r>
      <w:r>
        <w:rPr>
          <w:rFonts w:ascii="Times New Roman;Times;Serif" w:hAnsi="Times New Roman;Times;Serif"/>
          <w:b w:val="false"/>
          <w:i w:val="false"/>
          <w:caps w:val="false"/>
          <w:smallCaps w:val="false"/>
          <w:sz w:val="20"/>
        </w:rPr>
        <w:t xml:space="preserve"> of the Company Disclosure Schedule lists each stockholders agreement, voting agreement, registration rights agreement, co-sale agreement or other similar Contract between the Company and any holders of Company Common Stock, including any such Contract granting any Person investor rights, rights of first refusal, rights of first offer, registration rights, director designation rights or similar rights (collectively, the “</w:t>
      </w:r>
      <w:r>
        <w:rPr>
          <w:rFonts w:ascii="Times New Roman;Times;Serif" w:hAnsi="Times New Roman;Times;Serif"/>
          <w:b/>
          <w:i w:val="false"/>
          <w:caps w:val="false"/>
          <w:smallCaps w:val="false"/>
          <w:sz w:val="20"/>
        </w:rPr>
        <w:t>Investor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i w:val="false"/>
          <w:caps w:val="false"/>
          <w:smallCaps w:val="false"/>
          <w:sz w:val="20"/>
          <w:u w:val="single"/>
        </w:rPr>
        <w:t>Anti-Bribery</w:t>
      </w:r>
      <w:r>
        <w:rPr>
          <w:rFonts w:ascii="Times New Roman;Times;Serif" w:hAnsi="Times New Roman;Times;Serif"/>
          <w:b w:val="false"/>
          <w:i w:val="false"/>
          <w:caps w:val="false"/>
          <w:smallCaps w:val="false"/>
          <w:sz w:val="20"/>
        </w:rPr>
        <w:t>. None of the Company or any of its directors, officers, employees or, to the Knowledge of the Company and the Sellers, agents or any other Person acting on their behalf (in each case in their 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Times;Serif" w:hAnsi="Times New Roman;Times;Serif"/>
          <w:b/>
          <w:i w:val="false"/>
          <w:caps w:val="false"/>
          <w:smallCaps w:val="false"/>
          <w:sz w:val="20"/>
        </w:rPr>
        <w:t>Anti-Bribery Laws</w:t>
      </w:r>
      <w:r>
        <w:rPr>
          <w:rFonts w:ascii="Times New Roman;Times;Serif" w:hAnsi="Times New Roman;Times;Serif"/>
          <w:b w:val="false"/>
          <w:i w:val="false"/>
          <w:caps w:val="false"/>
          <w:smallCaps w:val="false"/>
          <w:sz w:val="20"/>
        </w:rPr>
        <w:t>”). The Company is not and has not been the subject of any allegation, voluntary disclosure, investigation or inquiry by any Governmental Body with respect to potential violations of Anti-Bribery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i w:val="false"/>
          <w:caps w:val="false"/>
          <w:smallCaps w:val="false"/>
          <w:sz w:val="20"/>
          <w:u w:val="single"/>
        </w:rPr>
        <w:t>DPA Representation</w:t>
      </w:r>
      <w:r>
        <w:rPr>
          <w:rFonts w:ascii="Times New Roman;Times;Serif" w:hAnsi="Times New Roman;Times;Serif"/>
          <w:b w:val="false"/>
          <w:i w:val="false"/>
          <w:caps w:val="false"/>
          <w:smallCaps w:val="false"/>
          <w:sz w:val="20"/>
        </w:rPr>
        <w:t>. The Company does not engage in (a) the design, fabrication, development, testing, production or manufacture of one or more “critical technologies” within the meaning of the DPA;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The Company has no current intention of engaging in such activities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i w:val="false"/>
          <w:caps w:val="false"/>
          <w:smallCaps w:val="false"/>
          <w:sz w:val="20"/>
          <w:u w:val="single"/>
        </w:rPr>
        <w:t>Disclaimer of Other Representations or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previously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and/or Merger Sub pursuant to this Agreement, the Company makes no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acknowledges and agrees that, except for the representations and warranties of Parent and Merger Sub expressly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Parent and/or Merger Sub to the Company pursuant to this Agreement, none of the Company or any of its Representatives is relying on any other representation or warranty of Parent, Merger Sub or any other Person made outside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such certificate, including regarding the accuracy or completeness of any such other representations or warranties or the omission of any material information, whether express or implied, in each case, with respect to the matters covered by this Agreement or the transactions contemplated by this Agreement, and any claim with respect to any other representation or warranty of Parent, Merger Sub or any other Person made outside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such certificate are expressly disclaimed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REPRESENTATIONS AND WARRANTIES OF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severally as to himself only and not jointly, represents and warrants to Parent and Merger Sub, as of the date of this Agreement and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Such Seller is the sole record and beneficial owner of, and has good and marketable title to, the shares of Company Common Stock corresponding to such Seller as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free and clear of any and all Encumbrances (other than as may be provided in the Company’s bylaws or the relevant Common Stock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Capacity and Authority</w:t>
      </w:r>
      <w:r>
        <w:rPr>
          <w:rFonts w:ascii="Times New Roman;Times;Serif" w:hAnsi="Times New Roman;Times;Serif"/>
          <w:b w:val="false"/>
          <w:i w:val="false"/>
          <w:caps w:val="false"/>
          <w:smallCaps w:val="false"/>
          <w:sz w:val="20"/>
        </w:rPr>
        <w:t>. Such Seller has full legal capacity and all necessary power and authority to enter into and to perform its obligations under this Agreement and all other Transaction Agreements to which it is or is to be a party, to consummate the transactions contemplated by this Agreement and the other Transaction Agreements to which it is a party, and to perform its obligations hereunder and thereunder. The execution and delivery by such Seller of this Agreement and the other Transaction Agreements to which it is or is to be a party and the consummation by such Seller of the transactions contemplated by this Agreement and the other Transaction Agreements to which it is a party have been duly authorized by all necessary action on the part of such Seller. This Agreement and the other Transaction Agreements to which such Seller is a party have been duly executed and delivered by such Seller and, assuming the due authorization, execution and delivery by the Company, Parent and Merger Sub and any other counterparty thereto, constitute a legal, valid and binding obligation of such Seller, enforceable against such Seller in accordance with its terms, except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No Conflict</w:t>
      </w:r>
      <w:r>
        <w:rPr>
          <w:rFonts w:ascii="Times New Roman;Times;Serif" w:hAnsi="Times New Roman;Times;Serif"/>
          <w:b w:val="false"/>
          <w:i w:val="false"/>
          <w:caps w:val="false"/>
          <w:smallCaps w:val="false"/>
          <w:sz w:val="20"/>
        </w:rPr>
        <w:t>. None of the execution, delivery or performance by such Seller of this Agreement or any other Transaction Agreements to which it is or is to be a party, the consummation by such Seller of the transactions contemplated by this Agreement and the other Transaction Agreements to which it is or is to be a party, or the compliance by such Seller with any of the provisions hereof or thereof: (i) violate, conflict with, or result in the breach of or constitute a default (or an event which with notice or lapse of time or both would become a default) under, or result in the termination of, or accelerate the performance required by or modification to the terms or conditions of, or result in a right of termination, acceleration or modification under, any contract to which such Seller is a party or by which such Seller or any of its properties or assets may be bound; (ii) violate or conflict with any applicable Law or decree applicable to such Seller or by which its properties or assets are bound; or (iii) result in the creation of any Encumbrance upon any of the properties or assets of such Seller. Such Seller is not a “foreign person” as that term is defined in the DPA.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Accredited Investor Status; Investment Sophistication</w:t>
      </w:r>
      <w:r>
        <w:rPr>
          <w:rFonts w:ascii="Times New Roman;Times;Serif" w:hAnsi="Times New Roman;Times;Serif"/>
          <w:b w:val="false"/>
          <w:i w:val="false"/>
          <w:caps w:val="false"/>
          <w:smallCaps w:val="false"/>
          <w:sz w:val="20"/>
        </w:rPr>
        <w:t>. Such Seller is an “accredited investor” as that term is defined in Rule 501(a) of Regulation D promulgated under the Securities Act. Such Seller has such knowledge and experience in financial and business matters that such Seller is capable of evaluating the merits and risks of the investment in the Parent Class A Ordinary Shares and/or Parent Class B Ordinary Shares to be issued to such Seller in accordance with this Agreement, and has had the opportunity to ask questions of, and receive answers from, representatives of Parent concerning the terms and conditions of the issuance of the Parent Class A Ordinary Shares and/or Parent Class B Ordinary Shares to such Seller in accordance with this Agreement and the business, properties, prospects and financial condition of Parent. Such Seller acknowledges that it has received and reviewed all information that it considers necessary or appropriate for deciding whether to acquire Parent Class A Ordinary Shares and/or Parent Class B Ordinary Shares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Investment Intent; No Distribution</w:t>
      </w:r>
      <w:r>
        <w:rPr>
          <w:rFonts w:ascii="Times New Roman;Times;Serif" w:hAnsi="Times New Roman;Times;Serif"/>
          <w:b w:val="false"/>
          <w:i w:val="false"/>
          <w:caps w:val="false"/>
          <w:smallCaps w:val="false"/>
          <w:sz w:val="20"/>
        </w:rPr>
        <w:t>. Such Seller is acquiring Parent Class A Ordinary Shares and/or Parent Class B Ordinary Shares pursuant to this Agreement solely for such Seller’s own account, for investment purposes only, and not with a view to, or for offer or sale in connection with, any distribution thereof within the meaning of the Securities Act or any applicable state securities Laws, in violation of the Securities Act or any applicable state securities Laws. Such Seller does not presently have any contract, undertaking, agreement or arrangement with any Person to sell, transfer or grant participations to such Person or to any third party with respect to any of the Parent Class A Ordinary Shares and/or Parent Class B Ordinary Shares to be issued to such Seller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u w:val="single"/>
        </w:rPr>
        <w:t>Restricted Securities</w:t>
      </w:r>
      <w:r>
        <w:rPr>
          <w:rFonts w:ascii="Times New Roman;Times;Serif" w:hAnsi="Times New Roman;Times;Serif"/>
          <w:b w:val="false"/>
          <w:i w:val="false"/>
          <w:caps w:val="false"/>
          <w:smallCaps w:val="false"/>
          <w:sz w:val="20"/>
        </w:rPr>
        <w:t xml:space="preserve">. Such Seller understands that the Parent Class A Ordinary Shares and/or Parent Class B Ordinary Shares to be issued to such Seller pursuant to this Agreement have not been, and, except as contemplated by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will not be, registered under the Securities Act or any applicable state securities Laws by reason of their issuance in a transaction exempt from the registration requirements of the Securities Act pursuant to Rule 506 of Regulation D promulgated thereunder, and that such Parent Class A Ordinary Shares and/or Parent Class B Ordinary Shares must be held indefinitely unless a subsequent disposition thereof is registered under the Securities Act and applicable state securities Laws or is exempt from such registration. Such Seller understands that the exemption from registration afforded by Rule 144 under the Securities Act depends upon the satisfaction of various conditions, and that, if applicable, Rule 144 may afford the basis for sales only in limited amounts and in accordance with the terms and conditions of that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val="false"/>
          <w:caps w:val="false"/>
          <w:smallCaps w:val="false"/>
          <w:sz w:val="20"/>
          <w:u w:val="single"/>
        </w:rPr>
        <w:t>No General Solicitation</w:t>
      </w:r>
      <w:r>
        <w:rPr>
          <w:rFonts w:ascii="Times New Roman;Times;Serif" w:hAnsi="Times New Roman;Times;Serif"/>
          <w:b w:val="false"/>
          <w:i w:val="false"/>
          <w:caps w:val="false"/>
          <w:smallCaps w:val="false"/>
          <w:sz w:val="20"/>
        </w:rPr>
        <w:t>. Such Seller is not acquiring the Parent Class A Ordinary Shares and/or Parent Class B Ordinary Shares to be issued to such Seller pursuant to this Agreement as a result of any general solicitation or general advertising within the meaning of Rule 502(c) of Regulation D promulgated under the Securities Act, including any advertisement, article, notice or other communication published in any newspaper, magazine or similar media or broadcast over television or radio, or any seminar or meeting whose attendees have been invited by any general solicitation or general advertising.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val="false"/>
          <w:caps w:val="false"/>
          <w:smallCaps w:val="false"/>
          <w:sz w:val="20"/>
          <w:u w:val="single"/>
        </w:rPr>
        <w:t>No Disqualifying Events</w:t>
      </w:r>
      <w:r>
        <w:rPr>
          <w:rFonts w:ascii="Times New Roman;Times;Serif" w:hAnsi="Times New Roman;Times;Serif"/>
          <w:b w:val="false"/>
          <w:i w:val="false"/>
          <w:caps w:val="false"/>
          <w:smallCaps w:val="false"/>
          <w:sz w:val="20"/>
        </w:rPr>
        <w:t>. Such Seller is not subject to any of the “bad actor” disqualifying events described in Rule 506(d)(1)(i) through (viii) of the Securities Act (each, a “</w:t>
      </w:r>
      <w:r>
        <w:rPr>
          <w:rFonts w:ascii="Times New Roman;Times;Serif" w:hAnsi="Times New Roman;Times;Serif"/>
          <w:b/>
          <w:i w:val="false"/>
          <w:caps w:val="false"/>
          <w:smallCaps w:val="false"/>
          <w:sz w:val="20"/>
        </w:rPr>
        <w:t>Disqualifying Event</w:t>
      </w:r>
      <w:r>
        <w:rPr>
          <w:rFonts w:ascii="Times New Roman;Times;Serif" w:hAnsi="Times New Roman;Times;Serif"/>
          <w:b w:val="false"/>
          <w:i w:val="false"/>
          <w:caps w:val="false"/>
          <w:smallCaps w:val="false"/>
          <w:sz w:val="20"/>
        </w:rPr>
        <w:t>”), except for a Disqualifying Event as to which Rule 506(d)(2)(ii) through (iv) or (d)(3) of the Securities Act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i w:val="false"/>
          <w:caps w:val="false"/>
          <w:smallCaps w:val="false"/>
          <w:sz w:val="20"/>
          <w:u w:val="single"/>
        </w:rPr>
        <w:t>No Financial Advisors</w:t>
      </w:r>
      <w:r>
        <w:rPr>
          <w:rFonts w:ascii="Times New Roman;Times;Serif" w:hAnsi="Times New Roman;Times;Serif"/>
          <w:b w:val="false"/>
          <w:i w:val="false"/>
          <w:caps w:val="false"/>
          <w:smallCaps w:val="false"/>
          <w:sz w:val="20"/>
        </w:rPr>
        <w:t>. No broker, finder or investment banker is entitled to any brokerage fee, finder’s fee, opinion fee, success fee, transaction fee or other fee or commission in connection with the Contemplated Transactions based upon arrangements made by or on behalf of such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i w:val="false"/>
          <w:caps w:val="false"/>
          <w:smallCaps w:val="false"/>
          <w:sz w:val="20"/>
          <w:u w:val="single"/>
        </w:rPr>
        <w:t>Disclaimer of Other Representations or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previously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such Seller to Parent and/or Merger Sub pursuant to this Agreement, such Seller makes no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Seller acknowledges and agrees that, except for the representations and warranties of Parent and Merger Sub expressly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Parent and/or Merger Sub to the Company pursuant to this Agreement, neither such Seller nor any of its Representatives is relying on any other representation or warranty of Parent, Merger Sub or any other Person made outside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such certificate, including regarding the accuracy or completeness of any such other representations or warranties or the omission of any material information, whether express or implied, in each case, with respect to the matters covered by this Agreement or the transactions contemplated by this Agreement, and any claim with respect to any other representation or warranty of Parent, Merger Sub or any other Person made outside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such certificate are expressly disclaimed by such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REPRESENTATIONS AND WARRANTIES OF PARENT AND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12.11(h)</w:t>
      </w:r>
      <w:r>
        <w:rPr>
          <w:rFonts w:ascii="Times New Roman;Times;Serif" w:hAnsi="Times New Roman;Times;Serif"/>
          <w:b w:val="false"/>
          <w:i w:val="false"/>
          <w:caps w:val="false"/>
          <w:smallCaps w:val="false"/>
          <w:sz w:val="20"/>
        </w:rPr>
        <w:t>, except as set forth (i) in the disclosure schedule delivered by Parent to the Company concurrently with the execution of this Agreement (the “</w:t>
      </w:r>
      <w:r>
        <w:rPr>
          <w:rFonts w:ascii="Times New Roman;Times;Serif" w:hAnsi="Times New Roman;Times;Serif"/>
          <w:b/>
          <w:i w:val="false"/>
          <w:caps w:val="false"/>
          <w:smallCaps w:val="false"/>
          <w:sz w:val="20"/>
        </w:rPr>
        <w:t>Parent Disclosure Schedule</w:t>
      </w:r>
      <w:r>
        <w:rPr>
          <w:rFonts w:ascii="Times New Roman;Times;Serif" w:hAnsi="Times New Roman;Times;Serif"/>
          <w:b w:val="false"/>
          <w:i w:val="false"/>
          <w:caps w:val="false"/>
          <w:smallCaps w:val="false"/>
          <w:sz w:val="20"/>
        </w:rPr>
        <w:t>”) or (ii) in the Parent SEC Documents (excluding in each case any disclosure set forth in the “Risk Factors” or “Forward-Looking Statements” sections of the Parent SEC Documents, and any other disclosures included therein to the extent they are predictive or forward-looking in nature), Parent and the Merger Sub jointly and severally represent and warrant to the Company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is duly organized, incorporated, validly existing and in good standing (to the extent applicable) under the Laws of the jurisdiction of its organization or incorporation, and has all necessary corporate power and authority to conduct its business in the manner in which its business is currently being conducted and to own or lease and use its property and assets in the manner in which its property and assets are currently owned or leased and used.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be reasonably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for the Entities identified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Parent Disclosure Schedule, Parent has no other Subsidiaries; and neither Parent nor any of the Entities identified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Parent Disclosure Schedule owns any capital stock of, or any equity, ownership or profit-sharing interest of any nature in, or controls directly or indirectly, any other Entity other than the Entities identified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Parent Disclosure Schedule.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Parent Disclosure Schedule sets forth, with respect to each such Subsidiary, (i) its jurisdiction of organization or incorporation and (ii) each jurisdiction in which it is licensed or qualified to do business or in which it otherwise carries on business operations. Each of Parent’s Subsidiaries is a corporation or other legal entity duly organized, validly existing and, if applicable, in good standing under the Laws of the jurisdiction of its organization and has all necessary corporate or other power and authority: (i) to conduct its business in the manner in which its business is currently being conducted; and (ii) to own or lease and use its property and assets in the manner in which its property and assets are currently owned or leased and used. Each Subsidiary of Parent is, directly or indirectly, wholly owned by Parent, free and clear of any Encumbrances. There are no outstanding subscriptions, options, warrants, calls, rights, convertible securities or other agreements or commitments of any character obligating Parent or any of its Subsidiaries to issue, transfer, sell or otherwise dispose of any equity interest in, or any securities convertible into or exchangeable for any equity interest in, any Subsidiary of Parent, and no Person has any right to acquire any equity interest in any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Organizational Documents</w:t>
      </w:r>
      <w:r>
        <w:rPr>
          <w:rFonts w:ascii="Times New Roman;Times;Serif" w:hAnsi="Times New Roman;Times;Serif"/>
          <w:b w:val="false"/>
          <w:i w:val="false"/>
          <w:caps w:val="false"/>
          <w:smallCaps w:val="false"/>
          <w:sz w:val="20"/>
        </w:rPr>
        <w:t>. Parent has made available to the Company accurate and complete copies of the Organizational Documents of Parent (including the Existing Parent MAA) and each of its Subsidiaries in effect as of the date of this Agreement. Neither Parent nor any of its Subsidiaries is in breach or violation of any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Subject, with respect to Parent, to receipt of the Required Parent Shareholder Approvals and the Required Parent Class B Consent, Parent and Merger Sub have all necessary corporate power and authority to enter into and to perform their respective obligations under this Agreement and all other Transaction Agreements to which it is or is to be a party, to consummate the transactions contemplated by this Agreement and all other Transaction Agreements to which it is or is to be a party, and to perform its obligations hereunder and thereunder. The execution and delivery by Parent and Merger Sub of this Agreement and the other Transaction Agreements to which it is or is to be a party and the consummation by Parent and Merger Sub of the transactions contemplated by this Agreement and all other Transaction Agreements to which it is or is to be a party have been duly authorized by all necessary action on the part of the Parent and Merger Sub. This Agreement and the other Transaction Agreements to which Parent and Merger Sub are a party have been duly executed and delivered by Parent and Merger Sub and, assuming the due authorization, execution and delivery by the Sellers, the Company and any other counterparty thereto, constitutes a legal, valid and binding obligation of Parent and Merger Sub, enforceable against Parent and Merger Sub in accordance with its terms, subject to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Vote Required</w:t>
      </w:r>
      <w:r>
        <w:rPr>
          <w:rFonts w:ascii="Times New Roman;Times;Serif" w:hAnsi="Times New Roman;Times;Serif"/>
          <w:b w:val="false"/>
          <w:i w:val="false"/>
          <w:caps w:val="false"/>
          <w:smallCaps w:val="false"/>
          <w:sz w:val="20"/>
        </w:rPr>
        <w:t>. The Merger Sub Board Approval and the Merger Sub Stockholder Consent have been obtained. The delivery of the executed Merger Sub Stockholder Consent is the only vote (or consent in lieu of a meeting) of the holders of any class or series of capital stock of Merger Sub necessary to adopt and approve this Agreement and approve the transactions contemplated by this Agreement and all other Transaction Agreements to which the Merger Sub is or is to be a party. The Parent Board (at a meeting duly called, noticed and held by the requisite quorum and vote or by unanimous written resolutions) has adopted resolutions providing for the Parent Board Approval. Each of the following approvals of the shareholders of Parent is required to be obtained at or prior to the Parent Shareholders’ Meeting in accordance with the Existing Parent MAA and applicable Cayman Islands Law (the “</w:t>
      </w:r>
      <w:r>
        <w:rPr>
          <w:rFonts w:ascii="Times New Roman;Times;Serif" w:hAnsi="Times New Roman;Times;Serif"/>
          <w:b/>
          <w:i w:val="false"/>
          <w:caps w:val="false"/>
          <w:smallCaps w:val="false"/>
          <w:sz w:val="20"/>
        </w:rPr>
        <w:t>Parent Shareholder Matters</w:t>
      </w:r>
      <w:r>
        <w:rPr>
          <w:rFonts w:ascii="Times New Roman;Times;Serif" w:hAnsi="Times New Roman;Times;Serif"/>
          <w:b w:val="false"/>
          <w:i w:val="false"/>
          <w:caps w:val="false"/>
          <w:smallCaps w:val="false"/>
          <w:sz w:val="20"/>
        </w:rPr>
        <w:t>”): (i) in respect of the alteration of share capital contemplated in connection with the adoption of the A&amp;R Parent MAA, an ordinary resolution passed by a simple majority of the votes cast by the shareholders of Parent as, being entitled to do so, vote in person or by proxy at the Parent Shareholders’ Meeting; (ii) in respect of the change of the name of the Parent from “SAIHEAT Limited” to “Canopy Wave Holdings Inc.”, conditional upon and effective at the Effective Time, a special resolution passed by a majority of at least two-thirds of the votes cast by the shareholders of Parent as, being entitled to do so, vote in person or by proxy at the Parent Shareholders’ Meeting; (iii) in respect of the adoption of the A&amp;R Parent MAA in-place substitution for, and full replacement of, the Existing Parent MAA, conditional upon and effective at the Effective Time, a special resolution passed by a majority of at least two-thirds of the votes cast by the shareholders of Parent as, being entitled to do so, vote in person or by proxy at the Parent Shareholders’ Meeting; (iv) in respect of fixing the number of directors constituting the Parent Board at five (5) immediately following the Effective Time (as determined by Parent and the Company prior to distribution of the proxy statement and notice of meeting for the Parent Shareholders’ Meeting), an ordinary resolution passed by a simple majority of the votes cast by the shareholders of Parent as, being entitled to do so, vote in person or by proxy at the Parent Shareholders’ Meeting; ((i), (ii), (iii) and (iv) together, the “</w:t>
      </w:r>
      <w:r>
        <w:rPr>
          <w:rFonts w:ascii="Times New Roman;Times;Serif" w:hAnsi="Times New Roman;Times;Serif"/>
          <w:b/>
          <w:i w:val="false"/>
          <w:caps w:val="false"/>
          <w:smallCaps w:val="false"/>
          <w:sz w:val="20"/>
        </w:rPr>
        <w:t>Required Parent Shareholder Approvals</w:t>
      </w:r>
      <w:r>
        <w:rPr>
          <w:rFonts w:ascii="Times New Roman;Times;Serif" w:hAnsi="Times New Roman;Times;Serif"/>
          <w:b w:val="false"/>
          <w:i w:val="false"/>
          <w:caps w:val="false"/>
          <w:smallCaps w:val="false"/>
          <w:sz w:val="20"/>
        </w:rPr>
        <w:t>”) and (v) the consent in writing of the holders of not less than two-thirds of the voting power of the Parent Class B Ordinary Shares, in accordance with Articles 10.1 and 17.3 of the Existing Parent MAA (the “</w:t>
      </w:r>
      <w:r>
        <w:rPr>
          <w:rFonts w:ascii="Times New Roman;Times;Serif" w:hAnsi="Times New Roman;Times;Serif"/>
          <w:b/>
          <w:i w:val="false"/>
          <w:caps w:val="false"/>
          <w:smallCaps w:val="false"/>
          <w:sz w:val="20"/>
        </w:rPr>
        <w:t>Required Parent Class B Consent</w:t>
      </w:r>
      <w:r>
        <w:rPr>
          <w:rFonts w:ascii="Times New Roman;Times;Serif" w:hAnsi="Times New Roman;Times;Serif"/>
          <w:b w:val="false"/>
          <w:i w:val="false"/>
          <w:caps w:val="false"/>
          <w:smallCaps w:val="false"/>
          <w:sz w:val="20"/>
        </w:rPr>
        <w:t>”). Except for the Required Parent Shareholder Approvals and the Required Parent Class B Consent, no other vote, approval or consent of any holders of share capital of, or other equity or voting interest in, Parent is necessary to approve or authorize this Agreement or the Contemplated Transactions. No approval of Parent’s shareholders is required under Nasdaq Listing Rule 5635 with respect to the Contemplated Transactions by virtue of Parent’s election of home country practice pursuant to Nasdaq Listing Rule 5615(a)(3), which election remains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Non-Contravention; Consents</w:t>
      </w:r>
      <w:r>
        <w:rPr>
          <w:rFonts w:ascii="Times New Roman;Times;Serif" w:hAnsi="Times New Roman;Times;Serif"/>
          <w:b w:val="false"/>
          <w:i w:val="false"/>
          <w:caps w:val="false"/>
          <w:smallCaps w:val="false"/>
          <w:sz w:val="20"/>
        </w:rPr>
        <w:t>Subject to obtaining the Required Parent Shareholder Approvals, the Required Parent Class B Consent, and the filing of the Certificate of Merger required by the DGCL, neither (x) the execution, delivery or performance by Parent or Merger Sub of this Agreement or any other Transaction Agreement to which it is a party, nor (y) the consummation of the transactions contemplated by this Agreement and all other Transaction Agreements to which it is or is to be a party, will directly or indirectly (with or without notice or lapse of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contravene, conflict with or result in a violation of any of the provisions of the Organizational Documents of Parent or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contravene, conflict with or result in a violation of any Law or any order, writ, injunction, judgment or decree to which Parent or its Subsidiaries, or any of the assets owned or used by Parent or its Subsidiaries, is subject, except as would not reasonably be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of the Parent Disclosure Schedule, contravene, conflict with or result in a violation or breach of, or result in a default under, any provision of any Parent Material Contract, or give any Person the right to: (i) declare a default or exercise any remedy under any Parent Material Contract; (ii) receive any material payment, rebate, chargeback, penalty or change in delivery schedule under any Parent Material Contract; (iii) accelerate the maturity or performance of any Parent Material Contract; or (iv) cancel, terminate or modify any term of any Parent Material Contract, except as would not reasonably be expected to have a Parent Material Adverse Effect;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result in the imposition or creation of any Encumbrance upon or with respect to any asset owned or used by Parent (except for Permitted Encumbrances), except as would not reasonably be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(i) any Consent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of the Parent Disclosure Schedule, (ii) the Required Parent Shareholder Approvals and the Required Parent Class B Consent, (iii) the filing of the Certificate of Merger with the Secretary of State of the State of Delaware pursuant to the DGCL, (iv) the submission of the LAS Notice to Nasdaq at least fifteen (15) days prior to the Closing Date as contemplated by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(v) the submission of an initial listing application to Nasdaq and the approval thereof by Nasdaq as required under Nasdaq Rule 5110 and (vi) such consents, waivers, approvals, orders, authorizations, registrations, declarations and filings as may be required under applicable federal and state securities Laws or Nasdaq listing rules, neither Parent nor any of its Subsidiaries is or will be required to make any filing with or give any notice to, or to obtain any Consent from, any Person in connection with (A) the execution, delivery or performance of this Agreement, or (B) the consummation of the transactions contemplated by this Agreement and all other Transaction Agreements to which it is or is to be a party. No Takeover Statute applies or purports to apply to the Merger, this Agreement or any of the other Contemplated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share capital of Parent as of the Reference Date, including the number of authorized, issued and outstanding Parent Class A Ordinary Shares, Parent Class B Ordinary Shares and Parent Preferred Shares, the number of Parent Class A Ordinary Shares issued and outstanding pursuant to the Parent Stock Plan, and the number of Parent Class A Ordinary Shares reserved for future issuance under the Parent Stock Plan and outstanding warrants, is as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of the Parent Disclosure Schedule, which sets forth a true and complete capitalization table of Parent as of the close of business on the Reference Date . No Parent Preferred Shares are issued and outstanding as of the close of business on the Reference Date. Parent does not hold any shares of its share capital in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Parent Class A Ordinary Shares and Parent Class B Ordinary Shares have been duly authorized, validly issued, fully paid and nonassessable. Except as disclosed in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of the Parent Disclosure Schedule, none of the outstanding Parent Class A Ordinary Shares or Parent Class B Ordinary Shares are entitled or subject to any pre-emptive right, right of participation, right of maintenance or any similar right and none of the outstanding Parent Class A Ordinary Shares or Parent Class B Ordinary Shares is subject to any right of first refusal in favor of Parent. Except as contemplated herein and as set forth on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of the Parent Disclosure Schedule, there is (x) no Parent Contract relating to the voting or registration of, or restricting any Person from purchasing, selling, pledging or otherwise disposing of (or granting any option or similar right with respect to), any Parent Class A Ordinary Shares or Parent Class B Ordinary Shares and (y) no contracts with one or more current or prospective shareholders of Parent (or one or more beneficial owners of the share capital of Parent) in its or their capacity as such, that have not been disclosed. Parent is not under any obligation, nor is it bound by any Contract pursuant to which it may become obligated, to repurchase, redeem or otherwise acquire any outstanding Parent Class A Ordinary Shares, Parent Class B Ordinary Shares or other securities.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of the Parent Disclosure Schedule accurately and completely lists all repurchase rights held by Parent with respect to Parent Class A Ordinary Shares or Parent Class B Ordinary Shares (including shares issued pursuant to the exercise of stock options) and specifies which of those repurchase rights are currently exercisable and whether the holder of such Parent Class A Ordinary Shares or Parent Class B Ordinary Shares timely filed an election with the relevant Governmental Bodies under Section 83(b) of the Code with respect to such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for the Parent Stock Plan, and except as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of the Parent Disclosure Schedule, Parent does not have any stock option plan or any other plan, program, agreement or arrangement providing for any equity-based compensation for any Person.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of the Parent Disclosure Schedule sets forth, as of the close of business on the Reference Date, the number of Parent Class A Ordinary Shares reserved for issuance upon exercise of outstanding Parent Options granted under the Parent Stock Plan, the number of Parent Class A Ordinary Shares reserved for issuance upon settlement of outstanding Parent RSUs granted under the Parent Stock Plan, and the number of Parent Class A Ordinary Shares remaining available for future issuance pursuant to the Parent Stock Plan.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of the Parent Disclosure Schedule also sets forth the following information with respect to each Parent Option and Parent RSU outstanding as of the Reference Date: (i) the number of Parent Class A Ordinary Shares subject to such Parent Option or Parent RSU, as applicable, at the time of grant; (ii) the number of Parent Class A Ordinary Shares subject to such Parent Option or Parent RSU, as applicable, as of the Reference Date; (iii) the exercise price of such Parent Option; (iv) the date on which such Parent Option or Parent RSU, as applicable, was granted; (v) the applicable vesting schedule, including the number of vested and unvested shares as of the Reference Date and any acceleration provisions; and (vi) whether such Parent Option is intended to constitute an “incentive stock option” (as defined in the Code) or a non-qualified stock option. Parent has made available to the Company an accurate and complete copy of the Parent Stock Plan and a form of stock option agreement and form of restricted stock unit agreement that is consistent in all material respects with the stock option agreements and restricted stock unit agreements evidencing outstanding Parent Options and Parent RSUs granted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the Parent Options and Parent RSUs, and as otherwise set forth in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xml:space="preserve"> of the Parent Disclosure Schedule, there is no: (i) outstanding subscription, option, call, warrant or right (whether or not currently exercisable) to acquire any shares of the share capital or other securities of Parent or any of its Subsidiaries; (ii) outstanding security, instrument or obligation that is or may become convertible into or exchangeable for any shares of the share capital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the share capital or other securities of Parent or any of its Subsidiaries (it being understood that Parent intends to issue prior to (but contingent upon) the Closing restricted stock units to certain employees of the Company identified in the Company Disclosure Schedule). There are no outstanding or authorized stock appreciation, phantom stock, profit participation or other similar rights with respect to Parent or any of its Subsidiaries. In addition, there are no shareholder rights plans (or similar plan commonly referred to as a “poison pill”) or bonds, debentures, notes or other indebtedness of Parent having the right to vote (or convertible into, or exchangeable for, securities having the right to vote) on any matters on which shareholders of Parent may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outstanding Parent Class A Ordinary Shares, Parent Class B Ordinary Shares, Parent Options, Parent RSUs,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 including the Parent Stock Plan. Except as set forth on </w:t>
      </w:r>
      <w:r>
        <w:rPr>
          <w:rFonts w:ascii="Times New Roman;Times;Serif" w:hAnsi="Times New Roman;Times;Serif"/>
          <w:b w:val="false"/>
          <w:i w:val="false"/>
          <w:caps w:val="false"/>
          <w:smallCaps w:val="false"/>
          <w:sz w:val="20"/>
          <w:u w:val="single"/>
        </w:rPr>
        <w:t>Section 4.6(e)</w:t>
      </w:r>
      <w:r>
        <w:rPr>
          <w:rFonts w:ascii="Times New Roman;Times;Serif" w:hAnsi="Times New Roman;Times;Serif"/>
          <w:b w:val="false"/>
          <w:i w:val="false"/>
          <w:caps w:val="false"/>
          <w:smallCaps w:val="false"/>
          <w:sz w:val="20"/>
        </w:rPr>
        <w:t xml:space="preserve"> of the Parent Disclosure Schedule, each Parent Option (i) has an exercise price per Parent Class A Ordinary Share equal to or greater than the fair market value of a Parent Class A Ordinary Share on the date of such grant, (ii) has a grant date that is not prior to the date on which the Parent Board or a duly authorized committee thereof actually awarded such Parent Option and (iii) qualifies for the Tax and accounting treatment afforded to such Parent Option in Parent’s Tax Returns and financial statements of Parent,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distributions, dividends, repurchases and redemptions of Parent Ordinary Shares or other equity interests of Parent were undertaken in material compliance with (i) the Organizational Documents of Parent in effect as of the relevant time and all applicable securities Laws and other applicable Laws, and (ii) all requirements set forth in applicable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filed all forms, reports, schedules, statements and other documents, including any exhibits thereto, required to be filed or furnished by Parent with the SEC since May 1, 2022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Times;Serif" w:hAnsi="Times New Roman;Times;Serif"/>
          <w:b/>
          <w:i w:val="false"/>
          <w:caps w:val="false"/>
          <w:smallCaps w:val="false"/>
          <w:sz w:val="20"/>
        </w:rPr>
        <w:t>Certifications</w:t>
      </w:r>
      <w:r>
        <w:rPr>
          <w:rFonts w:ascii="Times New Roman;Times;Serif" w:hAnsi="Times New Roman;Times;Serif"/>
          <w:b w:val="false"/>
          <w:i w:val="false"/>
          <w:caps w:val="false"/>
          <w:smallCaps w:val="false"/>
          <w:sz w:val="20"/>
        </w:rPr>
        <w:t xml:space="preserve">”)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since May 1, 2022, including all SEC comment letters and responses to such comment letters by or on behalf of Parent except for such comment letters and responses to such comment letters that are publicly accessible through EDGAR. Each director and executive officer of Parent has filed with the SEC on a timely basis all statements required with respect to Parent by Section 16(a) of the Exchange Act and the rules and regulations thereunder. As of the date of this Agreement, there are no outstanding unresolved comments in comment letters received from the SEC with respect to any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the term “file” and its variations shall be broadly construed to include any manner in which a document or information is filed, furnished, supplied or otherwise made available to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6-K or any successor form under the Exchange Act) applied on a consistent basis unless otherwise noted therein throughout the periods indicated; and (iii) fairly present, in all material respects, the consolidated financial position of Parent and its consolidated Subsidiaries as of the respective dates thereof and the consolidated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Parent’s auditor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4.7(d)</w:t>
      </w:r>
      <w:r>
        <w:rPr>
          <w:rFonts w:ascii="Times New Roman;Times;Serif" w:hAnsi="Times New Roman;Times;Serif"/>
          <w:b w:val="false"/>
          <w:i w:val="false"/>
          <w:caps w:val="false"/>
          <w:smallCaps w:val="false"/>
          <w:sz w:val="20"/>
        </w:rPr>
        <w:t xml:space="preserve"> of the Parent Disclosure Schedule, since May 1, 2022, through the date of this Agreement, Parent has not received any comment letter from the SEC or the staff thereof or any correspondence from officials of Nasdaq or the staff thereof relating to the delisting or maintenance of listing of the Parent Ordinary Shares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of all comment letters, written inquiries and enforcement correspondences between the SEC, on the one hand, and Parent, on the other hand, occurring since May 1, 2022 (except for such comment letters and responses to such comment letters that are publicly accessible through EDGAR), and will, reasonably promptly following the receipt thereof, make available to the Company any such correspondence sent or received after the date of this Agreement and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May 1, 2022,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(ii) no attorney representing Parent, whether or not employed by Parent, has reported evidence of a material violation of securities Laws, breach of fiduciary duty or similar violation by Parent or any of its officers, directors, employees or agents to the Parent Board or any committee thereof or to any director or officer of Parent, and (iii)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of this Agreement, Parent has not received any deficiency notice from Nasdaq with respect to any applicable listing or governance rules and regulations of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set forth in </w:t>
      </w:r>
      <w:r>
        <w:rPr>
          <w:rFonts w:ascii="Times New Roman;Times;Serif" w:hAnsi="Times New Roman;Times;Serif"/>
          <w:b w:val="false"/>
          <w:i w:val="false"/>
          <w:caps w:val="false"/>
          <w:smallCaps w:val="false"/>
          <w:sz w:val="20"/>
          <w:u w:val="single"/>
        </w:rPr>
        <w:t>Section 4.7(g)</w:t>
      </w:r>
      <w:r>
        <w:rPr>
          <w:rFonts w:ascii="Times New Roman;Times;Serif" w:hAnsi="Times New Roman;Times;Serif"/>
          <w:b w:val="false"/>
          <w:i w:val="false"/>
          <w:caps w:val="false"/>
          <w:smallCaps w:val="false"/>
          <w:sz w:val="20"/>
        </w:rPr>
        <w:t xml:space="preserve"> of the Parent Disclosure Schedule, Parent maintains and at all times since May 1, 2022,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2025, and, to the extent required by applicable Law, presented in any applicable Parent SEC Document that is a report on Form 20-F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Times New Roman;Times;Serif" w:hAnsi="Times New Roman;Times;Serif"/>
          <w:b w:val="false"/>
          <w:i w:val="false"/>
          <w:caps w:val="false"/>
          <w:smallCaps w:val="false"/>
          <w:sz w:val="20"/>
          <w:u w:val="single"/>
        </w:rPr>
        <w:t>Section 4.7(g)</w:t>
      </w:r>
      <w:r>
        <w:rPr>
          <w:rFonts w:ascii="Times New Roman;Times;Serif" w:hAnsi="Times New Roman;Times;Serif"/>
          <w:b w:val="false"/>
          <w:i w:val="false"/>
          <w:caps w:val="false"/>
          <w:smallCaps w:val="false"/>
          <w:sz w:val="20"/>
        </w:rPr>
        <w:t xml:space="preserve"> of the Parent Disclosure Schedule) (A) all material weaknesses and all significant deficiencies, if any, in the design or operation of internal control over financial reporting that are reasonably likely to adversely affect Parent’s ability to record, process, summarize and report financial information and (B) any fraud, whether or not material, that involves Parent, any of its Subsidiaries, Parent’s management or other employees who have a role in the preparation of financial statements or the internal accounting controls utilized by the Parent and its Subsidiaries or (C) any claim or allegation regarding any of the foregoing. For the avoidance of doubt, as an “emerging growth company” within the meaning of the Securities Act, as modified by the Jumpstart Our Business Startups Act of 2012, and a “non-accelerated filer” within the meaning of the Exchange Act, Parent is not subject to the auditor attestation requirements of Section 404(b) of the Sarbanes-Oxley Act, and no representation is made herein with respect to any such attestation. Parent has not identified, based on its most recent evaluation of internal control over financial reporting, conducted in accordance with the requirements applicable to Parent as an “emerging growth company” and “non-accelerated filer,” any significant deficiencies or material weaknesses in the design or operation of Parent’s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4.7(i)</w:t>
      </w:r>
      <w:r>
        <w:rPr>
          <w:rFonts w:ascii="Times New Roman;Times;Serif" w:hAnsi="Times New Roman;Times;Serif"/>
          <w:b w:val="false"/>
          <w:i w:val="false"/>
          <w:caps w:val="false"/>
          <w:smallCaps w:val="false"/>
          <w:sz w:val="20"/>
        </w:rPr>
        <w:t xml:space="preserve"> to the Parent Disclosure Schedule sets forth (x) the Parent Interim Financial Statements and (y) an accurate statement of Parent’s cash and cash equivalents as of the close of business on the Business Day preceding the date of this Agreement, and there has been no material change in the amount thereof from such statement through the date of this Agreement. The cash forecast set forth in </w:t>
      </w:r>
      <w:r>
        <w:rPr>
          <w:rFonts w:ascii="Times New Roman;Times;Serif" w:hAnsi="Times New Roman;Times;Serif"/>
          <w:b w:val="false"/>
          <w:i w:val="false"/>
          <w:caps w:val="false"/>
          <w:smallCaps w:val="false"/>
          <w:sz w:val="20"/>
          <w:u w:val="single"/>
        </w:rPr>
        <w:t>Section 4.7(i)</w:t>
      </w:r>
      <w:r>
        <w:rPr>
          <w:rFonts w:ascii="Times New Roman;Times;Serif" w:hAnsi="Times New Roman;Times;Serif"/>
          <w:b w:val="false"/>
          <w:i w:val="false"/>
          <w:caps w:val="false"/>
          <w:smallCaps w:val="false"/>
          <w:sz w:val="20"/>
        </w:rPr>
        <w:t xml:space="preserve"> to the Parent Disclosure Schedule: (i) has been prepared by Parent in good faith, (ii) is based on assumptions that Parent considers to be reasonable, and (iii) fairly reflects Parent’s reasonably anticipated rate of cash usage for the periods covered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Parent is not currently, and has not been at any time during the twelve (12) months preceding the date of this Agreement, a “shell company” as defined under Section 12b-2 of the Exchange Act and has filed current Form 10 information with the SEC at least 12 months prior to the date of this Agreement reflecting its status as an entity that is not a shell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of the Parent Disclosure Schedule, since the Parent Balance Sheet Date (except for the execution and performance of this Agreement and the discussions, negotiations and transactions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have conducted their business only in the Ordinary Course of Business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has not been or occurred any Parent Material Adverse Effect or any event, condition, change, or effect that could reasonably be expected to have a Parent Material Adverse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there has been no action, event or occurrence that would have required the consent of the Company pursuant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had such action, event or occurrence taken place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xml:space="preserve">. As of the date hereof, neither Parent nor any of its Subsidiaries has any Liability (whether or not required to be reflected in the financial statements in accordance with GAAP), individually or in the aggregate, except for: (a) Liabilities disclosed, reflected or reserved against in the Parent Interim Financial Statements; (b) Liabilities that have been incurred by Parent or its Subsidiaries since the Parent Balance Sheet Date in the Ordinary Course of Business; (c) Liabilities incurred in connection with the Contemplated Transactions; (d) Liabilities which would not, individually or in the aggregate, reasonably be expected to be material to the Parent; and (e) Liabilities described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that are material to Parent and its Subsidiaries, taken as a whole, including: (a) all tangible assets reflected on the Parent Interim Financial Statements; and (b) all other tangible assets reflected in the books and records of Parent or any of its Subsidiaries as being owned by Parent or such Subsidiary. All of such assets are owned or, in the case of leased assets, leased by Parent or its Subsidiaries free and clear of any Encumbrances, other than Permitted Encumbrances.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i w:val="false"/>
          <w:caps w:val="false"/>
          <w:smallCaps w:val="false"/>
          <w:sz w:val="20"/>
          <w:u w:val="single"/>
        </w:rPr>
        <w:t>Real Property; Leasehold</w:t>
      </w:r>
      <w:r>
        <w:rPr>
          <w:rFonts w:ascii="Times New Roman;Times;Serif" w:hAnsi="Times New Roman;Times;Serif"/>
          <w:b w:val="false"/>
          <w:i w:val="false"/>
          <w:caps w:val="false"/>
          <w:smallCaps w:val="false"/>
          <w:sz w:val="20"/>
        </w:rPr>
        <w:t>. Neither Parent nor any of its Subsidiaries own or ever have owned any real property. Parent has made available to the Company (a) an accurate and complete list of all real properties with respect to which Parent directly or indirectly holds a leasehold interest as well as any other real estate that is in the possession of, or occupied or leased by, Parent or any of its Subsidiaries, and (b) copies of all leases under which any such real property is possessed, occupied or leased (the “</w:t>
      </w:r>
      <w:r>
        <w:rPr>
          <w:rFonts w:ascii="Times New Roman;Times;Serif" w:hAnsi="Times New Roman;Times;Serif"/>
          <w:b/>
          <w:i w:val="false"/>
          <w:caps w:val="false"/>
          <w:smallCaps w:val="false"/>
          <w:sz w:val="20"/>
        </w:rPr>
        <w:t>Parent Real Estate Lease</w:t>
      </w:r>
      <w:r>
        <w:rPr>
          <w:rFonts w:ascii="Times New Roman;Times;Serif" w:hAnsi="Times New Roman;Times;Serif"/>
          <w:b w:val="false"/>
          <w:i w:val="false"/>
          <w:caps w:val="false"/>
          <w:smallCaps w:val="false"/>
          <w:sz w:val="20"/>
        </w:rPr>
        <w:t>”), each of which is valid and in full force and effect, with no existing material default thereunder.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Parent Disclosure Schedule identifies each item of Registered IP owned in whole or in part by Parent or any of its Subsidiaries, including, with respect to each registration and application: (i) the name of the applicant/registrant, (ii) the jurisdiction of application/registration, (iii) the application or registration number and (iv) any other co-owners. To the Knowledge of Parent, each of the patents and patent applications included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Parent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and enforceable, and with respect to Parent’s Registered IP, subsisting.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of the Parent Disclosure Schedule, (i) Parent or its Subsidiaries exclusively own and are the sole assignee of, or have licensed all material Parent IP, free and clear of all Encumbrances other than Permitted Encumbrances; (ii) the Parent IP and the Intellectual Property Rights licensed to Parent or its Subsidiaries pursuant to a valid, enforceable written agreement constitute all Intellectual Property Rights used in, material to or otherwise necessary for the operation of Parent’s and its Subsidiaries’ business as currently conducted; (iii)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and (iv) each Parent Associate who has or has had access to Parent’s or any of its Subsidiaries’ trade secrets or confidential information has signed a valid and enforceable written agreement containing confidentiality provisions protecting the Parent IP, trade secrets and confidential information. Parent has taken commercially reasonable steps to protect and preserve the confidentiality of its trade secrets and confidential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funding, facilities or personnel of any Governmental Body or any university, college, research institute or other educational institution has been used to create Parent IP, except for any such funding or use of facilities or personnel that does not result in such Governmental Body or institution obtaining ownership rights or a license to such Parent IP or the right to receive royalties for the practice of such Parent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4.12(d)</w:t>
      </w:r>
      <w:r>
        <w:rPr>
          <w:rFonts w:ascii="Times New Roman;Times;Serif" w:hAnsi="Times New Roman;Times;Serif"/>
          <w:b w:val="false"/>
          <w:i w:val="false"/>
          <w:caps w:val="false"/>
          <w:smallCaps w:val="false"/>
          <w:sz w:val="20"/>
        </w:rPr>
        <w:t xml:space="preserve"> of Parent Disclosure Schedule sets forth each license agreement pursuant to which Parent or any of its Subsidiaries (i) is granted a license under any material Intellectual Property Right owned by any third party that is used by Parent or its Subsidiaries in its business as currently conducted (each a “</w:t>
      </w:r>
      <w:r>
        <w:rPr>
          <w:rFonts w:ascii="Times New Roman;Times;Serif" w:hAnsi="Times New Roman;Times;Serif"/>
          <w:b/>
          <w:i w:val="false"/>
          <w:caps w:val="false"/>
          <w:smallCaps w:val="false"/>
          <w:sz w:val="20"/>
        </w:rPr>
        <w:t>Parent In-bound License</w:t>
      </w:r>
      <w:r>
        <w:rPr>
          <w:rFonts w:ascii="Times New Roman;Times;Serif" w:hAnsi="Times New Roman;Times;Serif"/>
          <w:b w:val="false"/>
          <w:i w:val="false"/>
          <w:caps w:val="false"/>
          <w:smallCaps w:val="false"/>
          <w:sz w:val="20"/>
        </w:rPr>
        <w:t>”) or (ii) grants to any third party a license under any material Parent IP or material Intellectual Property Right licensed to the Parent or its Subsidiaries under a Parent In-bound License (each a “</w:t>
      </w:r>
      <w:r>
        <w:rPr>
          <w:rFonts w:ascii="Times New Roman;Times;Serif" w:hAnsi="Times New Roman;Times;Serif"/>
          <w:b/>
          <w:i w:val="false"/>
          <w:caps w:val="false"/>
          <w:smallCaps w:val="false"/>
          <w:sz w:val="20"/>
        </w:rPr>
        <w:t>Parent Out-bound License</w:t>
      </w:r>
      <w:r>
        <w:rPr>
          <w:rFonts w:ascii="Times New Roman;Times;Serif" w:hAnsi="Times New Roman;Times;Serif"/>
          <w:b w:val="false"/>
          <w:i w:val="false"/>
          <w:caps w:val="false"/>
          <w:smallCaps w:val="false"/>
          <w:sz w:val="20"/>
        </w:rPr>
        <w:t>”) (provided, that, Parent In-bound Licenses shall not include, when entered into in the Ordinary Course of Business, material transfer agreements, services agreements, agreements with Parent Associates, non-disclosure agreements, commercially available Software-as-a-Service offerings, or off-the-shelf software licenses; and Parent Out-bound Licenses shall not include, when entered into in the Ordinary Course of Business, material transfer agreements, services agreements, non-disclosure agreements, or non-exclusive outbound licenses). To the Knowledge of Parent, all Parent In-bound Licenses and Parent Out-bound Licenses are in full force and effect and are valid, enforceable and binding obligations of Parent or its Subsidiaries, as applicable, and each other party to such Parent In-bound Licenses or Parent Out-bound Licenses. Neither Parent or its Subsidiaries, as applicable, nor to the Knowledge of Parent, any other party to such Parent In-bound Licenses or Parent Out-bound Licenses, is in material breach under any Parent In-bound Licenses or Parent Out-bound Licenses.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Knowledge of the Parent, (i)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or any Intellectual Property Rights exclusively licensed to Parent or its Subsidiaries. No Legal Proceeding is pending (or, to the Knowledge of Parent, is threatened in writing) (A) against Parent or its Subsidiaries alleging that the operation of the business of Parent or its Subsidiaries infringes or constitutes the misappropriation or other violation of any Intellectual Property Rights of another Person or (B) by Parent or its Subsidiaries alleging that another Person has infringed, misappropriated or otherwise violated any of the Parent IP or any Intellectual Property Rights exclusively licensed to Parent or its Subsidiaries. Except as set forth in </w:t>
      </w:r>
      <w:r>
        <w:rPr>
          <w:rFonts w:ascii="Times New Roman;Times;Serif" w:hAnsi="Times New Roman;Times;Serif"/>
          <w:b w:val="false"/>
          <w:i w:val="false"/>
          <w:caps w:val="false"/>
          <w:smallCaps w:val="false"/>
          <w:sz w:val="20"/>
          <w:u w:val="single"/>
        </w:rPr>
        <w:t>Section 4.12(e)</w:t>
      </w:r>
      <w:r>
        <w:rPr>
          <w:rFonts w:ascii="Times New Roman;Times;Serif" w:hAnsi="Times New Roman;Times;Serif"/>
          <w:b w:val="false"/>
          <w:i w:val="false"/>
          <w:caps w:val="false"/>
          <w:smallCaps w:val="false"/>
          <w:sz w:val="20"/>
        </w:rPr>
        <w:t xml:space="preserve"> of Parent Disclosure Schedule, neither Parent nor its Subsidiaries have received any written notice or other written communication alleging that the operation of the business of Parent or its Subsidiaries infringes or constitutes the misappropriation or other violation of any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Parent IP or, to the Knowledge of Parent, any material Intellectual Property Rights exclusively licensed to Parent or its Subsidiaries is subject to any pending or outstanding injunction, directive, order, judgment or other disposition of dispute that adversely and materially restricts the use, transfer, registration or licensing by Parent or its Subsidiaries of any such Parent IP or material Intellectual Property Rights exclusively licensed to Parent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and its Subsidiaries and the operation of Parent’s and its Subsidiaries’ business are in substantial compliance with all Laws pertaining to data privacy and data security of Sensitive Data. To the Knowledge of Parent, there have been (i) no losses or thefts of data or security breaches relating to Sensitive Data used in the business of Parent or its Subsidiaries, (ii) no violations of any security policy of Parent regarding any such Sensitive Data used in the business of Parent or its Subsidiaries, and (iii) no unauthorized access, unauthorized use or unintended or improper disclosure of any Sensitive Data used in the business of Parent or its Subsidiaries. Parent has taken commercially reasonable steps and implemented reasonable disaster recovery and security plans and procedures to protect the information technology systems used in, material to or necessary for operation of Parent’s and its Subsidiaries’ business as currently conducted from unauthorized use or access. To the Knowledge of Parent, there have been no material malfunctions or unauthorized intrusions or breaches of the information technology systems used in, material to or necessary for the operation of Parent’s or its Subsidiaries’ business as currently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4.13(a) of the Parent Disclosure Schedule lists the following Parent Contracts in effect as of the date of this Agreement, other than any Parent Benefit Plans (each,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Parent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Contract as defined in Item 601(b)(10) of Regulation S-K as promulgated under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Parent Contract relating to any agreement of indemnification or guaranty not entered into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Parent Contract containing (A) any covenant limiting the freedom of Parent or its Subsidiaries to engage in any line of business or compete with any Person, (B) any most-favored pricing arrangement or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or (D) any non-solicitation provision;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Parent Contract relating to the disposition or acquisition of material assets or any ownership interest in any Entity, except as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Parent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Parent Contract with any financial advisor, broker, finder, investment banker or other similar Person providing financial advisory services to Parent in connection with the Contemplated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Parent Real Estate Lease;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Parent Contract with any Governmental Body;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Parent Out-bound License and Parent In-bound License, and each Parent Contract containing a covenant not to sue or otherwise enforce any Intellectual Property Rights, other than Contracts containing standard form non-disclosure agreements or licenses for unmodified commercially available off the shelf software;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Parent Contract containing any royalty, dividend or similar arrangement based on the revenues or profits of Parent or its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Parent Contract, offer letter, employment agreement, or independent contractor agreement with any employee or service provider whose annual compensation equals or exceeds $100,000 that (A) is not immediately terminable by Parent without notice, severance, or other cost or liability, except as required under applicable Law, or (B) provides for retention payments, change-of-control payments, severance, accelerated vesting, or any similar payment or benefit that may or will become due as a result of the Merger;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other Contract, excluding Parent Contracts relating to Parent employees or independent contractors, that is not terminable at will (with no penalty or payment or requirement for prior notice) by Parent or its Subsidiaries, as applicable, and (A) which involves payment or receipt by Parent or its Subsidiaries after the date of this Agreement under any such agreement, Contract or commitment of more than $200,000 in the aggregate, or obligations after the date of this Agreement in excess of $200,000 in the aggregate, or (B) that is material to the business or operations of Parent and its Subsidiaries, taken as a whole;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each Parent Contract entered into in settlement of any Legal Proceeding or other dispute with respect to which the Parent has any outstanding monetary obligations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has delivered or made available to the Company accurate and complete copies of all Parent Material Contracts, including all amendments thereto. Neither Parent nor any of its Subsidiaries has,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or its business, except as set forth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xml:space="preserve"> of the Parent Disclosure Schedule. As to Parent and its Subsidiaries, as of the date of this Agreement, each Parent Material Contract is valid, binding, enforceable and in full force and effect, subject to the Enforceability Exceptions, except as set forth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xml:space="preserve"> of the Parent Disclosure Schedule. No Person is renegotiating, or has a right pursuant to the terms of any Parent Material Contract to change, any material amount paid or payable to Parent under any Parent Material Contract or any other material term or provision of any Parent Material Contract, and no Person has indicated in writing to Parent that it desires to renegotiate, modify, not renew or cancel any Parent Material Contract, except as set forth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i w:val="false"/>
          <w:caps w:val="false"/>
          <w:smallCaps w:val="false"/>
          <w:sz w:val="20"/>
          <w:u w:val="single"/>
        </w:rPr>
        <w:t>Compliance; Permits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its Subsidiaries are, and since the date that is three (3) years prior to the date of this Agreement have been, in compliance in all material respects with all applicable Laws, except as set forth in </w:t>
      </w:r>
      <w:r>
        <w:rPr>
          <w:rFonts w:ascii="Times New Roman;Times;Serif" w:hAnsi="Times New Roman;Times;Serif"/>
          <w:b w:val="false"/>
          <w:i w:val="false"/>
          <w:caps w:val="false"/>
          <w:smallCaps w:val="false"/>
          <w:sz w:val="20"/>
          <w:u w:val="single"/>
        </w:rPr>
        <w:t>Section 4.14(a)</w:t>
      </w:r>
      <w:r>
        <w:rPr>
          <w:rFonts w:ascii="Times New Roman;Times;Serif" w:hAnsi="Times New Roman;Times;Serif"/>
          <w:b w:val="false"/>
          <w:i w:val="false"/>
          <w:caps w:val="false"/>
          <w:smallCaps w:val="false"/>
          <w:sz w:val="20"/>
        </w:rPr>
        <w:t xml:space="preserve"> of the Parent Disclosure Schedule. Without limiting the generality of the foregoing, Parent and its Subsidiaries are in compliance in all material respects with all applicable export control Laws (including the Export Administration Regulations and the regulations administered by the Bureau of Industry and Security of the U.S. Department of Commerce) and economic sanctions Laws (including those administered by the Office of Foreign Assets Control of the U.S. Department of the Treasury), except as set forth in </w:t>
      </w:r>
      <w:r>
        <w:rPr>
          <w:rFonts w:ascii="Times New Roman;Times;Serif" w:hAnsi="Times New Roman;Times;Serif"/>
          <w:b w:val="false"/>
          <w:i w:val="false"/>
          <w:caps w:val="false"/>
          <w:smallCaps w:val="false"/>
          <w:sz w:val="20"/>
          <w:u w:val="single"/>
        </w:rPr>
        <w:t>Section 4.14(a)</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Legal Proceeding is pending or, to the Knowledge of Parent, threatened against Parent or any Subsidiary. There is no agreement, judgment, injunction, order or decree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or any of its Subsidiaries’ ability to comply with or perform any covenant or obligation under this Agreement, or (iii) is reasonably likely to have the effect of preventing, delaying, making illegal or otherwise interfering with the Contemplated Transactions. Parent has not received any written notice of any non-compliance or investigation relating to any violation or threat to be charged with any non-compliance of any Law except for such instances of non-compliance which would not, individually or in the aggregate, be material to Parent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or its Subsidiaries hold all required Governmental Authorizations which are material to the operation of the business of Parent or such Subsidiary as currently conducted (the “</w:t>
      </w:r>
      <w:r>
        <w:rPr>
          <w:rFonts w:ascii="Times New Roman;Times;Serif" w:hAnsi="Times New Roman;Times;Serif"/>
          <w:b/>
          <w:i w:val="false"/>
          <w:caps w:val="false"/>
          <w:smallCaps w:val="false"/>
          <w:sz w:val="20"/>
        </w:rPr>
        <w:t>Parent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4.14(c)</w:t>
      </w:r>
      <w:r>
        <w:rPr>
          <w:rFonts w:ascii="Times New Roman;Times;Serif" w:hAnsi="Times New Roman;Times;Serif"/>
          <w:b w:val="false"/>
          <w:i w:val="false"/>
          <w:caps w:val="false"/>
          <w:smallCaps w:val="false"/>
          <w:sz w:val="20"/>
        </w:rPr>
        <w:t xml:space="preserve"> 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disclosed in the Parent SEC Documents filed prior to the date of this Agreement or as disclosed in </w:t>
      </w:r>
      <w:r>
        <w:rPr>
          <w:rFonts w:ascii="Times New Roman;Times;Serif" w:hAnsi="Times New Roman;Times;Serif"/>
          <w:b w:val="false"/>
          <w:i w:val="false"/>
          <w:caps w:val="false"/>
          <w:smallCaps w:val="false"/>
          <w:sz w:val="20"/>
          <w:u w:val="single"/>
        </w:rPr>
        <w:t>Section 4.15(a)</w:t>
      </w:r>
      <w:r>
        <w:rPr>
          <w:rFonts w:ascii="Times New Roman;Times;Serif" w:hAnsi="Times New Roman;Times;Serif"/>
          <w:b w:val="false"/>
          <w:i w:val="false"/>
          <w:caps w:val="false"/>
          <w:smallCaps w:val="false"/>
          <w:sz w:val="20"/>
        </w:rPr>
        <w:t xml:space="preserve"> of the Parent Disclosure Schedule, as of the date of this Agreement there is no material pending Legal Proceeding and, to the Knowledge of Parent, no Person has threatened in writing to commence any Legal Proceeding: (i) that involves (A) Parent, (B) any of its Subsidiaries, or (C) any Parent Associate (in his or her capacity as such); or (ii) that challenges, or that would have the effect of preventing, delaying, making illegal or otherwise interfering with,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 xml:space="preserve"> of the Parent Disclosure Schedule, since the date that is three (3) years prior to the date of this Agreement through the date of this Agreement, no Legal Proceeding has been pending against Parent that resulted in material liability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have timely filed all material Tax Returns that were required to be filed by or with respect to it under applicable Law. All such Tax Returns are correct and complete in all material respects and have been prepared in compliance with all applicable Law. No claim has ever been made by any Governmental Body in any jurisdiction where Parent or any of its Subsidiaries does not file a particular Tax Return or pay a particular Tax that Parent or such Subsidiary is required to file a Tax Return or pay a Tax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Parent or any of its Subsidiaries (whether or not shown on any Tax Return) have been fully and timely paid. The unpaid Taxes of Parent and its Subsidiaries did not, as of the Parent Balance Sheet Date, materially exceed the reserve for Tax liability (excluding any reserve for deferred Taxes established to reflect timing differences between book and Tax items) set forth on the face of the Parent Interim Financial Statements. Since the Parent Balance Sheet Date, neither Parent nor any of its Subsidiaries has incurred any material Liability for Taxes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Taxes that Parent or any of its Subsidiaries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material Taxes (other than Taxes not yet due and payable) upon any of the assets of Parent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Parent or any of its Subsidiaries have been claimed, proposed or assessed by any Governmental Body in writing. There are no pending or ongoing and, to the Knowledge of Parent, threatened audits, assessments or other actions for or relating to any liability in respect of a material amount of Taxes of Parent or any of its Subsidiaries. Neither Parent nor any of its predecessors nor any of its Subsidiaries have waived any statute of limitations or agreed to any extension of time with respect to any income or other material Tax assessment or deficiency.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has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Parent nor any of its Subsidiaries will be required to include or accelerate any item of income in, or exclude or defer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non-U.S. Law) executed on or prior to the Closing Date; (iv) intercompany transaction or excess loss account described in Treasury Regulations under Section 1502 of the Code (or any similar provision of state, local or non-U.S. Law); (v) installment sale or open transaction disposition made on or prior to the Closing Date; (vi) prepaid amount, advance payment or deferred revenue received or accrued on or prior to the Closing Date; (vii) application of Section 367(d) of the Code to any transfer of intangible property on or prior to the Closing Date; (viii) application of Sections 951 or 951A of the Code (or any similar provision of state, local or non-U.S. Law) to any income received or accrued on or prior to the Closing Date; or (ix) election under Section 108(i) of the Code (or any similar provision of state, local or non-U.S. Law). Neither the Parent nor any of its Subsidiaries has any unpaid deferred employment Taxes under the CARES Act, has taken, claimed, or applied for an employee retention tax credit, or taken out any loan, received any loan assistance or received any other financial assistance, or requested any of the foregoing, in each case under the CARES Act, including pursuant to the SBA Paycheck Protection Program or the Economic Injury Disaster Loan Program. Neither Parent nor any of its Subsidiaries have made any election under Section 965(h)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have any Liability for any material Taxes of any Person (other than Parent and any of its Subsidiaries) under Treasury Regulations Section 1.1502-6 (or any similar provision of state, local, or non-U.S. Law), as a transferee or successor, by Contract (other than customary commercial contracts entered into in the Ordinary Course of Business the principal subject matter of which is not Taxes)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Parent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non-U.S.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Parent nor any of its Subsidiaries has participated in or been a party to a transaction that, as of the date of this Agreement, constitutes a “reportable transaction” within the meaning of Section 6707A(c) of the Code and Treasury Regulations Section 1.6011-4(b).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Parent nor any of its Subsidiaries has taken any action (or agreed to take any action) or become aware of any fact that would reasonably be expected to prevent or impede the Merger from qualifying for the Intended Tax Treatment.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No Subsidiary of Parent is a “passive foreign investment company” within the meaning of Section 1297 of the Code. No Subsidiary of Parent that is a “controlled foreign corporation” within the meaning of Section 957(a) of the Code owns (directly or indirectly) an “investment in United States property” for purposes of Section 956 of the Code. As of the date of this Agreement, and without giving effect to the Merger or any of the other Contemplated Transactions, to the Knowledge of Parent, neither Parent nor any Subsidiary of Parent that was organized in a jurisdiction outside of the United States is, or has been, a “surrogate foreign corporation” within the meaning of Section 7874(a)(2)(B) of the Code. For the avoidance of doubt, no representation or warranty is made under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as to the U.S. federal income tax consequences of the Merger or the other Contemplated Transactions under Section 7874 of the Code, including whether Parent will be treated as a surrogate foreign corporation under Section 7874(a), or as a domestic corporation under Section 7874(b), of the Code as a result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Parent and Merger Sub are currently and have at all times since their respective formations been classified as a “C corporation” pursuant to Section 1361(a)(2) of the Code for U.S. federal and applicable state and local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each reference to Parent or any of its Subsidiaries shall be deemed to include any Person that was liquidated into, merged with, or is otherwise a predecessor to,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Parent Disclosure Schedule is a list of all material Parent Benefit Plans (except for (A) any individual stock purchase, stock option and other equity compensation agreements which do not deviate from the representative forms of such agreements made available to the Company, and (B) employment agreements and offer letters establishing at-will employment without obligating Parent to make any payment or provide any benefit upon termination of employment other than through a plan, program, policy, arrangement or agreement listed on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Parent Disclosure Schedule). “</w:t>
      </w:r>
      <w:r>
        <w:rPr>
          <w:rFonts w:ascii="Times New Roman;Times;Serif" w:hAnsi="Times New Roman;Times;Serif"/>
          <w:b/>
          <w:i w:val="false"/>
          <w:caps w:val="false"/>
          <w:smallCaps w:val="false"/>
          <w:sz w:val="20"/>
        </w:rPr>
        <w:t>Parent Benefit Plan</w:t>
      </w:r>
      <w:r>
        <w:rPr>
          <w:rFonts w:ascii="Times New Roman;Times;Serif" w:hAnsi="Times New Roman;Times;Serif"/>
          <w:b w:val="false"/>
          <w:i w:val="false"/>
          <w:caps w:val="false"/>
          <w:smallCaps w:val="false"/>
          <w:sz w:val="20"/>
        </w:rPr>
        <w:t>” means each (i) “employee benefit plan” as defined in Section 3(3) of ERISA, and (ii) other pension, retirement, deferred compensation, excess benefit, profit sharing, bonus, commission, equity or equity-based incentive, phantom equity, employment, consulting, severance, change-of-control, retention, health, life, disability, group insurance, paid time off, holiday, welfare and fringe benefit plan, program, agreement, contract, or arrangement, in each case, sponsored, maintained, administered, contributed to, or required to be contributed to, by Parent or any of its Subsidiaries or Parent ERISA Affiliates for the benefit of any current or former employee, director, officer or independent contractor of Parent or any of its Subsidiaries or under which Parent or any of its Subsidiaries has any actual or contingent liability (including, without limitation, as to the result of it being treated as a single employer under Code Section 414 with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applicable with respect to each material Parent Benefit Plan, Parent has made available to the Company true and complete copies of (i) each material Parent Benefit Plan, including all amendments thereto, (ii) all current trust documents, custodial agreements and insurance contracts relating thereto, (iii) the current summary plan description and each summary of material modifications thereto, (iv) the most recently filed annual reports with any Governmental Body (e.g., Form 5500 and all schedules thereto), (v) the most recent IRS determination, opinion or advisory letter, (vi) the most recent summary annual reports, nondiscrimination testing reports, actuarial reports, financial statements and trustee reports, and (vii) all notices and filings from the IRS or Department of Labor or other Governmental Body concerning audits, investigations, plan corrections or “prohibited transactions” within the meaning of Section 406 of ERISA or Section 4975 of the Code within the prior three (3)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material Parent Benefit Plan has been maintained, operated and administered in compliance in all material respects with its terms and the applicable provisions of ERISA, the Code and all other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Benefit Plans which are “employee pension benefit plans” within the meaning of Section 3(2) of ERISA and which are intended to meet the qualification requirements of Section 401(a) of the Code have received or are entitled to rely on determination or opinion letters from the IRS to the effect that such plans are qualified under Section 401(a) of the Code and the related trusts are exempt from federal income Taxes under Section 501(a) of the Code, respectively, and, to the Knowledge of Parent, nothing has occurred that would reasonably be expected to materially adversely affect the qualification of such Parent Benefit Plan or the tax exempt status of the related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Parent, any of its Subsidiaries nor any Parent ERISA Affiliate has maintained, established, participated in, contributed to, has been required to contribute to, or has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audits or investigations by any Governmental Body involving any Parent Benefit Plan, and no pending or, to the Knowledge of Parent, threatened claims (except for routine individual claims for benefits payable in the normal operation of the Parent Benefit Plans), suits or proceedings involving any Parent Benefit Plan, or, to the Knowledge of Parent, any fiduciary thereof, in any case except as would not be reasonably expected to result in material liability to Parent or any of its Subsidiaries. All contributions and premium payments required to have been made under any of the Parent Benefit Plans or by applicable Law (without regard to any waivers granted under Section 412 of the Code), have been timely made and neither Parent nor any Parent ERISA Affiliate has any material liability for any unpaid contributions with respect to any Parent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any of its Subsidiaries or any Parent ERISA Affiliates, nor to the Knowledge of Parent, any fiduciary, trustee or administrator of any Parent Benefit Plan, has engaged in, or in connection with the Contemplated Transactions will engage in, any transaction with respect to any Parent Benefit Plan which would subject any such Parent Benefit Plan, Parent, any of its Subsidiaries or Parent ERISA Affiliates to a material Tax, material penalty or material liability for a “prohibited transaction” under Section 406 of ERISA or Section 4975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Parent Benefit Plan provides death, medical, dental, vision, life insurance or other welfare benefits beyond termination of service or retirement other than coverage mandated by Law, and neither Parent nor any of its Subsidiaries or any Parent ERISA Affiliates has made a written representation promising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in </w:t>
      </w:r>
      <w:r>
        <w:rPr>
          <w:rFonts w:ascii="Times New Roman;Times;Serif" w:hAnsi="Times New Roman;Times;Serif"/>
          <w:b w:val="false"/>
          <w:i w:val="false"/>
          <w:caps w:val="false"/>
          <w:smallCaps w:val="false"/>
          <w:sz w:val="20"/>
          <w:u w:val="single"/>
        </w:rPr>
        <w:t>Section 4.17(i)</w:t>
      </w:r>
      <w:r>
        <w:rPr>
          <w:rFonts w:ascii="Times New Roman;Times;Serif" w:hAnsi="Times New Roman;Times;Serif"/>
          <w:b w:val="false"/>
          <w:i w:val="false"/>
          <w:caps w:val="false"/>
          <w:smallCaps w:val="false"/>
          <w:sz w:val="20"/>
        </w:rPr>
        <w:t xml:space="preserve"> of the Parent Disclosure Schedule, neither the execution of this Agreement, nor the performance of the Contemplated Transactions (either alone or when combined with the occurrence of any other event, including without limitation, a termination of employment) will (i) result in any payment becoming due to any current or former employee, director, officer, or independent contractor of Parent or any Subsidiary thereof pursuant to any Parent Benefit Plan or otherwise, (ii) increase any amount of compensation or benefits otherwise payable under any Parent Benefit Plan or otherwise, or (iii) result in the acceleration of the time of payment, funding or vesting of any benefits under any Parent Benefit Plan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set forth in </w:t>
      </w:r>
      <w:r>
        <w:rPr>
          <w:rFonts w:ascii="Times New Roman;Times;Serif" w:hAnsi="Times New Roman;Times;Serif"/>
          <w:b w:val="false"/>
          <w:i w:val="false"/>
          <w:caps w:val="false"/>
          <w:smallCaps w:val="false"/>
          <w:sz w:val="20"/>
          <w:u w:val="single"/>
        </w:rPr>
        <w:t>Section 4.17(j)</w:t>
      </w:r>
      <w:r>
        <w:rPr>
          <w:rFonts w:ascii="Times New Roman;Times;Serif" w:hAnsi="Times New Roman;Times;Serif"/>
          <w:b w:val="false"/>
          <w:i w:val="false"/>
          <w:caps w:val="false"/>
          <w:smallCaps w:val="false"/>
          <w:sz w:val="20"/>
        </w:rPr>
        <w:t xml:space="preserve"> of the Parent Disclosure Schedule, neither the execution of,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Parent and its Subsidiaries of any payment or benefit that is or could be characterized as a “parachute payment” (within the meaning of Code Section 280G), determined without regard to the application of Code Section 280G(b)(5).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Parent Benefit Plan that is a “nonqualified deferred compensation plan” (as defined in Section 409A(d)(1) of the Code) has been operated and administered in compliance with, is and has been in documentary compliance with, Section 409A of the Code, in each case,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current or former employee, officer, director or independent contractor of Parent or any of its Subsidiaries has any “gross up” agreements with the Parent or any of its Subsidiaries or other assurance of reimbursement by the Parent or any of its Subsidiaries for any Taxes imposed under Code Section 409A or Code Section 4999.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Parent Benefit Plan maintained outside of the United States (each, a “</w:t>
      </w:r>
      <w:r>
        <w:rPr>
          <w:rFonts w:ascii="Times New Roman;Times;Serif" w:hAnsi="Times New Roman;Times;Serif"/>
          <w:b/>
          <w:i w:val="false"/>
          <w:caps w:val="false"/>
          <w:smallCaps w:val="false"/>
          <w:sz w:val="20"/>
        </w:rPr>
        <w:t>Parent Foreign Plan</w:t>
      </w:r>
      <w:r>
        <w:rPr>
          <w:rFonts w:ascii="Times New Roman;Times;Serif" w:hAnsi="Times New Roman;Times;Serif"/>
          <w:b w:val="false"/>
          <w:i w:val="false"/>
          <w:caps w:val="false"/>
          <w:smallCaps w:val="false"/>
          <w:sz w:val="20"/>
        </w:rPr>
        <w:t>”) has obtained from the Governmental Body having jurisdiction with respect to such plan any required determinations that such plan is in compliance with the Laws of any such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extent required by applicable law, the assets of each of the Parent Foreign Plans that is similar to an employee pension benefit plan (as defined in Section 3(2) of ERISA (whether or not subject to ERISA)) or that otherwise provides retirement, medical or life insurance benefits following retirement or other termination of service or employment are at least equal to the liabilities of such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Set forth in </w:t>
      </w:r>
      <w:r>
        <w:rPr>
          <w:rFonts w:ascii="Times New Roman;Times;Serif" w:hAnsi="Times New Roman;Times;Serif"/>
          <w:b w:val="false"/>
          <w:i w:val="false"/>
          <w:caps w:val="false"/>
          <w:smallCaps w:val="false"/>
          <w:sz w:val="20"/>
          <w:u w:val="single"/>
        </w:rPr>
        <w:t>Section 4.17(o)</w:t>
      </w:r>
      <w:r>
        <w:rPr>
          <w:rFonts w:ascii="Times New Roman;Times;Serif" w:hAnsi="Times New Roman;Times;Serif"/>
          <w:b w:val="false"/>
          <w:i w:val="false"/>
          <w:caps w:val="false"/>
          <w:smallCaps w:val="false"/>
          <w:sz w:val="20"/>
        </w:rPr>
        <w:t xml:space="preserve"> of the Parent Disclosure Schedule is a true and correct list, as of the date of this Agreement, containing the names of all current full-time, part-time or temporary employees and independent contractors (and indication as such), and, as applicable: (i) the annual dollar amount of base salary or other base wages, and to the extent calculable, commissions; (ii) dates of employment or service; (iii) title and, with respect to independent contractors, a current written description of such Person’s contracting services, if available; (iv) visa status, if applicable; and (v) with respect to employees, (A) a designation of whether they are classified as exempt or non-exempt for purposes of FLSA and any similar state, federal or non-U.S. Law and (B) whether such an employee is on leave, and if so, the nature of such leave and expected return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is there or has there been in the past five years any threat of, any strike, slowdown, work stoppage, lockout, union election petition, demand for recognition, or any similar activity or dispute, or, to the Knowledge of Parent, any union organizing activity, against Parent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Parent and each of its Subsidiaries is, and since the date that is three (3) years prior to the date of this Agreement has been, other than as would not be expected to result in a Parent Material Adverse Effect, in compliance with all applicable Laws respecting labor, employment, employment practices, and terms and conditions of employment, including worker classification, discrimination, immigration,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with respect to employees of Parent and its Subsidiaries, each of Parent and its Subsidiaries, since the date that is three (3) years prior to the date of this Agreement, has withheld and reported all amounts required by Law to be withheld and reported with respect to wages, salaries and other payments, benefits, or compensation to employees. There are no actions, suits, claims, charges, lawsuits, investigations, audits or administrative matters pending or, to the Knowledge of Parent, threatened in writing against Parent or any of its Subsidiaries relating to any employee, applicant for employment, or consultant.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Within the preceding five years, Parent has not implemented any “plant closing” or “mass layoff” of employees that would reasonably be expected to require notification under the WARN Act or any similar state or local Law, no such “plant closing” or “mass layoff” will be implemented before the Closing Date without advance notification to and approval of the Company, and there has been no “employment loss” as defined by the WARN Act within the 90 days prior to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 the Knowledge of Parent, no current or former employee or independent contractor of Parent or its Subsidiaries is in any material respect in violation of any term of any employment agreement, nondisclosure agreement, common law nondisclosure obligation, fiduciary duty, noncompetition agreement, nonsolicitation agreement, restrictive covenant or other obligation (i) owed to Parent or its Subsidiaries or (ii) owed to any third party with respect to such person’s right to be employed or engaged by Parent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val="false"/>
          <w:i w:val="false"/>
          <w:caps w:val="false"/>
          <w:smallCaps w:val="false"/>
          <w:sz w:val="20"/>
        </w:rPr>
        <w:t>. Parent and each of its Subsidiaries are in compliance and since the date that is three (3) years prior to the date of this Agreement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has received since the date that is three (3) years prior to the date of this Agreement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with any Environmental Law, except where such failure to comply would not reasonably be expected to be material to Parent or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as set forth in the Parent SEC Documents filed prior to the date of this Agreement, no event has occurred that would be required to be reported by Parent pursuant to Item 7.B. of Form 20-F.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of the Parent Disclosure Schedule identifies each Person who is (or who may be deemed to be) an Affiliate of Parent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are in compliance in all material respects with the terms thereof. Other than customary end of policy notifications from insurance carriers, since the date that is three (3) years prior to the date of this Agreement, neither Parent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i w:val="false"/>
          <w:caps w:val="false"/>
          <w:smallCaps w:val="false"/>
          <w:sz w:val="20"/>
          <w:u w:val="single"/>
        </w:rPr>
        <w:t>No Financial Advisors</w:t>
      </w:r>
      <w:r>
        <w:rPr>
          <w:rFonts w:ascii="Times New Roman;Times;Serif" w:hAnsi="Times New Roman;Times;Serif"/>
          <w:b w:val="false"/>
          <w:i w:val="false"/>
          <w:caps w:val="false"/>
          <w:smallCaps w:val="false"/>
          <w:sz w:val="20"/>
        </w:rPr>
        <w:t>.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i w:val="false"/>
          <w:caps w:val="false"/>
          <w:smallCaps w:val="false"/>
          <w:sz w:val="20"/>
          <w:u w:val="single"/>
        </w:rPr>
        <w:t>Anti-Bribery</w:t>
      </w:r>
      <w:r>
        <w:rPr>
          <w:rFonts w:ascii="Times New Roman;Times;Serif" w:hAnsi="Times New Roman;Times;Serif"/>
          <w:b w:val="false"/>
          <w:i w:val="false"/>
          <w:caps w:val="false"/>
          <w:smallCaps w:val="false"/>
          <w:sz w:val="20"/>
        </w:rPr>
        <w:t>. None of Parent or any of its Subsidiaries nor any of their respective directors, officers, employees or, to Parent’s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allegation, voluntary disclosure, investigation or inquiry by any Governmental Body with respect to potential violations of Anti-Bribery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r>
        <w:rPr>
          <w:rFonts w:ascii="Times New Roman;Times;Serif" w:hAnsi="Times New Roman;Times;Serif"/>
          <w:b/>
          <w:i w:val="false"/>
          <w:caps w:val="false"/>
          <w:smallCaps w:val="false"/>
          <w:sz w:val="20"/>
          <w:u w:val="single"/>
        </w:rPr>
        <w:t>Other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of the Parent Disclosure Schedule lists each stockholders agreement, voting agreement, registration rights agreement, co-sale agreement or other similar Contract between Parent or any of its Subsidiaries and any holders of Parent Ordinary Shares or other equity interests of Parent or any of its Subsidiaries, including any such Contract granting any Person investor rights, rights of first refusal, rights of first offer, registration rights, director designation rights or similar rights, in each case to the extent not otherwise disclosed pursuant to Section 4.6(b) or Section 4.6(d) of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 </w:t>
      </w:r>
      <w:r>
        <w:rPr>
          <w:rFonts w:ascii="Times New Roman;Times;Serif" w:hAnsi="Times New Roman;Times;Serif"/>
          <w:b/>
          <w:i w:val="false"/>
          <w:caps w:val="false"/>
          <w:smallCaps w:val="false"/>
          <w:sz w:val="20"/>
          <w:u w:val="single"/>
        </w:rPr>
        <w:t>Valid Issuance</w:t>
      </w:r>
      <w:r>
        <w:rPr>
          <w:rFonts w:ascii="Times New Roman;Times;Serif" w:hAnsi="Times New Roman;Times;Serif"/>
          <w:b w:val="false"/>
          <w:i w:val="false"/>
          <w:caps w:val="false"/>
          <w:smallCaps w:val="false"/>
          <w:sz w:val="20"/>
        </w:rPr>
        <w:t>The Parent Class A Ordinary Shares and Parent Class B Ordinary Shares to be issued as Consideration Shares will, when issued in accordance with the provisions of this Agreement, be validly issued, fully paid and with no further sums payable thereon. As of the date of this Agreement, Parent has a sufficient number of authorized but unissued Parent Class A Ordinary Shares and Parent Class B Ordinary Shares to permit the issuance of the Consideration Shares (or, if insufficient Parent Class B Ordinary Shares are currently authorized, Parent shall take all necessary action, including the adoption of the A&amp;R Parent MAA, to authorize a sufficient number of Parent Class B Ordinary Shares prior to the Effective Time). All corporate action on the part of Parent and the Parent Board necessary to authorize the issuance of the Consideration Shares has been duly taken (or, with respect to any Parent Class B Ordinary Shares to be issued to the Sellers, will be duly taken upon adoption of the A&amp;R Parent MAA). No Parent Class A Ordinary Shares or Parent Class B Ordinary Shares will be issued at a price per share that is less than the par value thereof. Upon issuance, the Consideration Shares (including the Escrow Shares deposited with the Escrow Agent on behalf of the Sellers) will be reflected as duly issued shares on the books and records of Parent’s transfer agent in accordance with applicable Law, the Escrow Agreement and the terms of this Agreement. The issuance of the Consideration Shares does not require any consent, approval, authorization, order, filing, registration or qualification of or with any Governmental Body under the Laws of the Cayman Islands. To the Knowledge of Parent as of the date of this Agreement, no Disqualifying Event is applicable to Parent or, to Parent’s Knowledge, any Parent Covered Person, except for a Disqualifying Event as to which Rule 506(d)(2)(ii)–(iv) or (d)(3) of the Securities Act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 </w:t>
      </w:r>
      <w:r>
        <w:rPr>
          <w:rFonts w:ascii="Times New Roman;Times;Serif" w:hAnsi="Times New Roman;Times;Serif"/>
          <w:b/>
          <w:i w:val="false"/>
          <w:caps w:val="false"/>
          <w:smallCaps w:val="false"/>
          <w:sz w:val="20"/>
          <w:u w:val="single"/>
        </w:rPr>
        <w:t>Securities Law Compliance; Insider Trading; Rule 144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are, and since the date that is five (5) years prior to the date of this Agreement have been, in compliance in all material respects with all applicable federal and state securities Laws, including the Securities Act, the Exchange Act, and all rules and regulations promulgated thereunder, including all filing, reporting, disclosure, proxy solicitation, and insider reporting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Parent, since April 30, 2022, the date Parent’s securities were first listed, no current director, officer, employee, or Affiliate of Parent or any of its Subsidiaries (nor any former director, officer, employee, or Affiliate who served as such during such period) has purchased, sold, or otherwise transferred any securities of Parent in violation of Section 10(b) of the Exchange Act, Rule 10b-5 promulgated thereunder, Section 14(e) of the Exchange Act, Section 16 of the Exchange Act, or any other applicable federal or state securities Law, including any applicable insider trading or market manipulation Laws. Parent has adopted and maintains insider trading policies and procedures that are reasonably designed to ensure compliance with applicable securities Laws, and, to the Knowledge of Parent, no Person subject to such policies has violated the same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has not taken any action and, to the Knowledge of Parent, no fact or circumstance exists, that would reasonably be expected to prevent, impair, or delay the availability of an exemption under Rule 144 under the Securities Act for the resale of the Consideration Shares by the holders thereof, assuming such holders satisfy the applicable holding period and all other conditions set forth in Rule 144. Without limiting the foregoing, Parent is not currently an issuer identified in Rule 144(i)(1)(i) under the Securities Act and has filed current “Form 10 information” (defined in Rule 144(i)(3) under the Securities Act) at least 12 months prior to the date of this Agreement reflecting its status as an entity that is no longer an issuer identified in Rule 144(i)(1)(i) under the Securities Act. The Parent Class A Ordinary Shares are registered under Section 12(b) of the Exchange Act and are listed and posted for trading on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stop order or suspension of trading in the Parent Class A Ordinary Shares has been imposed by the SEC, Nasdaq, or any other Governmental Body and remains in effect as of the date of this Agreement, and, to the Knowledge of Parent, no investigation or proceeding for such purpose is pending or threatened. Parent has not received any notification from the SEC or Nasdaq that the SEC or Nasdaq is contemplating suspending or terminating such registration or listing.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4.26 </w:t>
      </w:r>
      <w:r>
        <w:rPr>
          <w:rFonts w:ascii="Times New Roman;Times;Serif" w:hAnsi="Times New Roman;Times;Serif"/>
          <w:b/>
          <w:i w:val="false"/>
          <w:caps w:val="false"/>
          <w:smallCaps w:val="false"/>
          <w:sz w:val="20"/>
          <w:u w:val="single"/>
        </w:rPr>
        <w:t>Disclaimer of Other Representations or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previously set forth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Parent or Merger Sub to the Company pursuant to this Agreement, neither Parent nor Merger Sub makes any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Parent and Merger Sub acknowledges and agrees that, except for the representations and warranties of the Company and the Sellers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the representations and warranties of the Sellers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representations and warranties in any certificate delivered by the Company or the Sellers to Parent and/or Merger Sub pursuant to this Agreement, none of the Parent, Merger Sub or any of their respective Representatives is relying on any other representation or warranty of the Company, the Sellers or any other Person made outside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such certificate, including regarding the accuracy or completeness of any such other representations or warranties or the omission of any material information, whether express or implied, in each case, with respect to the matters covered by this Agreement or the transactions contemplated by this Agreement, and any claim with respect to any other representation or warranty of the Company, the Sellers or any other Person made outside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such certificate are expressly disclaimed by Parent and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CERTAIN COVENANTS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set forth in </w:t>
      </w:r>
      <w:r>
        <w:rPr>
          <w:rFonts w:ascii="Times New Roman;Times;Serif" w:hAnsi="Times New Roman;Times;Serif"/>
          <w:b w:val="false"/>
          <w:i w:val="false"/>
          <w:caps w:val="false"/>
          <w:smallCaps w:val="false"/>
          <w:sz w:val="20"/>
          <w:u w:val="single"/>
        </w:rPr>
        <w:t>Schedule 5.1(a)</w:t>
      </w:r>
      <w:r>
        <w:rPr>
          <w:rFonts w:ascii="Times New Roman;Times;Serif" w:hAnsi="Times New Roman;Times;Serif"/>
          <w:b w:val="false"/>
          <w:i w:val="false"/>
          <w:caps w:val="false"/>
          <w:smallCaps w:val="false"/>
          <w:sz w:val="20"/>
        </w:rPr>
        <w:t xml:space="preserve">, (ii) as expressly permitted by this Agreement or any other Transaction Agreement, (iii) as required by applicable Law or (iv) with the prior written consent of the Company (which consent shall not be unreasonably withheld, delayed or conditioned), during the period commencing on the date of this Agreement and continuing until the earlier to occur of the termination of this Agreement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the Effective Time (the “</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Parent shall conduct its business and operations in the Ordinary Course of Business and in compliance with all applicable Laws and the requirements of all Contracts that constitute Parent Material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(i) as expressly permitted by this Agreement or any other Transaction Agreement, (ii) as set forth in Schedule 5.1(b), (iii) as required by applicable Law or (iv) with the prior written consent of the Company (which consent shall not be unreasonably withheld, delayed or conditioned), at all times during the Pre-Closing Period, Parent shall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accrue, set aside or pay any dividend or make any other distribution in respect of any shares of its share capital or repurchase, redeem or otherwise reacquire any shares of its share capital or other securities (except in connection with the payment of the exercise price and/or withholding Taxes incurred upon the exercise, settlement or vesting of any award granted under the Parent Stock Plan);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 issue, grant, pledge or otherwise dispose of or encumber or authorize any of the foregoing with respect to: (A) any shares or other securities of Parent (except for Parent Class A Ordinary Shares issued upon the valid exercise of outstanding Parent Options and the vesting of outstanding Parent RSUs) and (B) any option, warrant or right to acquire any shares or any other security or any instrument convertible into or exchangeable for any shares or other securities of Parent, other than option grants to employees and directors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form any Subsidiary or acquire any equity interest or other interest in any other Entity or enter into a joint venture with any other Entity;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lend money to any Person (except for (x) the advance of reasonable business expenses to employees, directors and consultants in the Ordinary Course of Business or (y) to a Subsidiary of Parent), (B) incur or guarantee any indebtedness for borrowed money, or (C) guarantee any debt securities of others;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other than as required by applicable Law or the terms of any Parent Benefit Plan as in effect on the date of this Agreement: (A) adopt, terminate, establish or enter into any Parent Benefit Plan; (B) cause any Parent Benefit Plan to be amended in any material respect; (C) pay any bonus or distribute any profit-sharing account balances or similar payment to, or increase the amount of the wages, salary, commissions, benefits or other compensation or remuneration payable to, any of its directors, officers or employees, other than in the Ordinary Course of Business; (D) grant or increase any severance, change-of-control, transaction or retention bonus, deferred compensation or similar payments or benefits with respect to any current, former or new employees, directors or consultants; or (E) hire, terminate or give notice of termination (other than for cause) to any (x) officer or (y) employee or other service provider whose annual compensation is or is expected to be more than $150,000 per year, provided that any hiring, termination or giving of notice shall be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negotiate, modify, extend, terminate, or enter into any collective bargaining agreement or other Contract or arrangement with any labor union, works council, employee representative or other labor organization (each, a “</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or (B) recognize or certify any labor union, works council, group of employees or other labor organization for purposes of collective bargaining or as the representative for any employees;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announce or implement any employee layoffs, plant closings, reductions in force, furloughs, temporary layoffs, salary or wage reduction, work schedule changes or other actions that could require notice under the WARN Act, or any other reduction in force, early retirement program, or other voluntary or involuntary employment termination program;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as required by applicable Law, waive or release any noncompetition, nonsolicitation, nondisclosure, noninterference, nondisparagement, or other restrictive covenant obligation of any current or former employee, independent contractor or business relation;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commence or settle any Legal Proceeding (A) requiring, or reasonably expected to require, a cash payment in excess of $50,000, (B) with any Governmental Body or (C) that results in, or could reasonably be expected to result in, the imposition of any material restrictions upon its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enter into any material transaction other than (A) in the Ordinary Course of Business, or (B) in connection with the Contemplated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acquire any material asset or sell, lease or otherwise irrevocably dispose of any of its material assets or properties, or grant any Encumbrance with respect to such assets or properties, except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sell, assign, transfer, license, sublicense or otherwise dispose of any material Parent IP (other than pursuant to non-exclusive licenses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make, change or revoke any material Tax election, fail to pay any income or other material Tax as such Tax became due and payable, file any amendment making any material change to any Tax Return, settle or compromise any income or other material Tax liability, dispute, audit, investigation, proceeding, claim, or assessment, enter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six months), surrender any right to claim a material Tax refund, or adopt or change any material accounting method in respect of Taxes;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make any expenditures, incur any Liabilities (other than in the Ordinary Course of Business), in each case, in amounts that exceed $250,000 individually, or $500,000 in the aggregate, except as reflected in the Parent Interim Financial Statements;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other than as required by Law or GAAP, take any action to change its accounting policies or procedures;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permit, facilitate, approve, or consent to (A) the issuance of any new Parent Ordinary Shares, options, warrants, convertible securities, or other rights to acquire equity securities of Parent, other than as expressly permitted pursuant to </w:t>
      </w:r>
      <w:r>
        <w:rPr>
          <w:rFonts w:ascii="Times New Roman;Times;Serif" w:hAnsi="Times New Roman;Times;Serif"/>
          <w:b w:val="false"/>
          <w:i w:val="false"/>
          <w:caps w:val="false"/>
          <w:smallCaps w:val="false"/>
          <w:sz w:val="20"/>
          <w:u w:val="single"/>
        </w:rPr>
        <w:t>Section 5.1(b)(ii)</w:t>
      </w:r>
      <w:r>
        <w:rPr>
          <w:rFonts w:ascii="Times New Roman;Times;Serif" w:hAnsi="Times New Roman;Times;Serif"/>
          <w:b w:val="false"/>
          <w:i w:val="false"/>
          <w:caps w:val="false"/>
          <w:smallCaps w:val="false"/>
          <w:sz w:val="20"/>
        </w:rPr>
        <w:t>, or (B) any other action, transaction, or arrangement that would alter the capitalization table of Parent as set forth in Section 4.6(a) of the Parent Disclosure Schedule, including any reclassification, recapitalization, or exchange of shares;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agree, resolve or commit to do any of the foregoing.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Operation of the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set forth in </w:t>
      </w:r>
      <w:r>
        <w:rPr>
          <w:rFonts w:ascii="Times New Roman;Times;Serif" w:hAnsi="Times New Roman;Times;Serif"/>
          <w:b w:val="false"/>
          <w:i w:val="false"/>
          <w:caps w:val="false"/>
          <w:smallCaps w:val="false"/>
          <w:sz w:val="20"/>
          <w:u w:val="single"/>
        </w:rPr>
        <w:t>Schedule 5.2(a)</w:t>
      </w:r>
      <w:r>
        <w:rPr>
          <w:rFonts w:ascii="Times New Roman;Times;Serif" w:hAnsi="Times New Roman;Times;Serif"/>
          <w:b w:val="false"/>
          <w:i w:val="false"/>
          <w:caps w:val="false"/>
          <w:smallCaps w:val="false"/>
          <w:sz w:val="20"/>
        </w:rPr>
        <w:t>, (ii) as expressly permitted by this Agreement or any other Transaction Agreement, (iii) as required by applicable Law or (iv) with the prior written consent of Parent (which consent shall not be unreasonably withheld, delayed or conditioned), during the Pre-Closing Period, the Company shall conduct, and the Sellers shall cause the Company to conduct, its business and operations in the Ordinary Course of Business and in compliance with all applicable Laws and the requirements of all Contracts that constitute Company Material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expressly permitted by this Agreement or any other Transaction Agreement, (ii) as set forth in </w:t>
      </w:r>
      <w:r>
        <w:rPr>
          <w:rFonts w:ascii="Times New Roman;Times;Serif" w:hAnsi="Times New Roman;Times;Serif"/>
          <w:b w:val="false"/>
          <w:i w:val="false"/>
          <w:caps w:val="false"/>
          <w:smallCaps w:val="false"/>
          <w:sz w:val="20"/>
          <w:u w:val="single"/>
        </w:rPr>
        <w:t>Schedule 5.2(b)</w:t>
      </w:r>
      <w:r>
        <w:rPr>
          <w:rFonts w:ascii="Times New Roman;Times;Serif" w:hAnsi="Times New Roman;Times;Serif"/>
          <w:b w:val="false"/>
          <w:i w:val="false"/>
          <w:caps w:val="false"/>
          <w:smallCaps w:val="false"/>
          <w:sz w:val="20"/>
        </w:rPr>
        <w:t>, (iii) as required by applicable Law or (iv) with the prior written consent of Parent (which consent shall not be unreasonably withheld, delayed or conditioned), at all times during the Pre-Closing Period, the Company shall not, and the Sellers shall cause the Company not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accrue, set aside or pay any dividend or make any other distribution in respect of any shares of its capital stock; or repurchase, redeem or otherwise reacquire any shares of its capital stock or other securities (except for repurchase of shares of Company Common Stock from terminated employees, directors or consultants of the Company or in connection with the payment of the exercise price and/or withholding Taxes incurred upon the exercise, settlement or vesting of any award granted under the Company Options);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 issue, grant, pledge or otherwise dispose of or encumber or authorize any of the foregoing with respect to: (A) any shares or other securities of Company; and (B) any option, warrant or right to acquire any shares or any other security or any instrument convertible into or exchangeable for any shares or other securities of Company, other than option grants to employees and directors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any of the SAFE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form any Subsidiary or acquire any equity interest or other interest in any other Entity or enter into a joint venture with any other Entity;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lend money to any Person (except for the advance of reasonable business expenses to employees, directors and consultants in the Ordinary Course of Business), (B) incur or guarantee any indebtedness for borrowed money, or (C) guarantee any debt securities of others;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other than as required by applicable Law: (A) adopt, terminate, establish or enter into any benefit plan of Company; (B) pay any bonus or distribute any profit-sharing account balances or similar payment to, or increase the amount of the wages, salary, commissions, benefits or other compensation or remuneration payable to, any of its directors, officers or employees, other than in the Ordinary Course of Business; (C) grant or increase any severance, change-of-control, transaction or retention bonus, deferred compensation or similar payments or benefits with respect to any current, former or new employees, directors or consultants; or (D) hire, terminate or give notice of termination (other than for cause) to any (x) officer or (y) employee or other service provider whose annual compensation is or is expected to be more than $150,000 per year, provided that any hiring, termination or giving of notice shall be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negotiate, modify, extend, terminate, or enter into any CBA or (B) recognize or certify any labor union, works council, group of employees or other labor organization for purposes of collective bargaining or as the representative for any employees;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announce or implement any employee layoffs, plant closings, reductions in force, furloughs, temporary layoffs, salary or wage reduction, work schedule changes or other actions that could require notice under the WARN Act, or any other reduction in force, early retirement program, or other voluntary or involuntary employment termination program;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except as required by applicable Law, waive or release any noncompetition, nonsolicitation, nondisclosure, noninterference, nondisparagement, or other restrictive covenant obligation of any current or former employee, independent contractor or business relation;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commence or settle any Legal Proceeding (A) requiring, or reasonably expected to require, a cash payment in excess of $50,000, (B) with any Governmental Body or (C) that results in, or could reasonably be expected to result in, the imposition of any material restrictions upon its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enter into any material transaction other than (A) in the Ordinary Course of Business, or (B) in connection with the Contemplated Transactions;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acquire any material asset or sell, lease or otherwise irrevocably dispose of any of its material assets or properties, or grant any Encumbrance with respect to such assets or properties, except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sell, assign, transfer, license, sublicense or otherwise dispose of any material Company IP (other than pursuant to non-exclusive licenses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make, change or revoke any material Tax election, fail to pay any income or other material Tax as such Tax became due and payable, file any amendment making any material change to any Tax Return, settle or compromise any income or other material Tax liability, dispute, audit, investigation, proceeding, claim, or assessment, enter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six months), surrender any right to claim a material Tax refund, or adopt or change any material accounting method in respect of Taxes;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make any expenditures, incur any Liabilities (other than in the Ordinary Course of Business), in each case, in amounts that exceed $250,000 individually, or $500,000 in the aggregate;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other than as required by Law or GAAP, take any action to change its accounting policies or procedures;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agree, resolve or commit to do any of the foregoing.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Access and Information</w:t>
      </w:r>
      <w:r>
        <w:rPr>
          <w:rFonts w:ascii="Times New Roman;Times;Serif" w:hAnsi="Times New Roman;Times;Serif"/>
          <w:b w:val="false"/>
          <w:i w:val="false"/>
          <w:caps w:val="false"/>
          <w:smallCaps w:val="false"/>
          <w:sz w:val="20"/>
        </w:rPr>
        <w:t xml:space="preserve">.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(d)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Body in connection with the Contemplated Transactions. Any investigation conducted by either Parent or the Company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conducted in such manner as not to interfere unreasonably with the conduct of the business of the other Party. Each of the Company and Parent shall provide the other Party with unaudited cash balances and a statement of accounts payable of such Party (on a consolidated basis) as of the end of each calendar month, or such longer period as each of the providing Party and receiving Party may agree to in writing. Notwithstanding the foregoing, no Party shall be required to provide access, copies, or make available any personnel, officers, employees, property, assets, books, records, Tax Returns, work papers, product data, documents or information (x) to the extent that any Law applicable to such Party requires such Party to restrict or prohibit access or (y) if doing so could result in the waiver of the attorney-client privilege, work product doctrine or similar privilege or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the Company and the Sellers shall promptly notify Parent (and, if in writing, furnish copies of) if any of the following occurs: (i) any written notice or other written communication is received from any Person alleging that the Consent of such Person is or may be required in connection with any of the Contemplated Transactions; (ii) any Legal Proceeding against or involving or otherwise affecting the Company is commenced, or, to the Knowledge of the Company and the Sellers, threatened in writing against the Company or, to the Knowledge of the Company and the Sellers, any director or officer of the Company in such individual’s capacity as such; (iii) the Company or the Sellers become aware of any inaccuracy in any representation or warranty made by the Company or the Sellers in this Agreement; or (iv) the failure of the Company or the Sellers to comply with any covenant or obligation of the Company; in the case of (iii) and (iv) that would reasonably be expected to make the timely satisfaction of any of the conditions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as applicable, impossible or materially less likely. No notification given to Parent pursuant to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shall change, limit or otherwise affect any of the representations, warranties, covenants or obligations of the Company or the Sellers contained in this Agreement or the Company Disclosure Schedule for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Parent shall promptly notify the Company (and, if in writing, furnish copies of) if any of the following occurs: (i) any written notice or other written communication is received from any Person alleging that the Consent of such Person is or may be required in connection with any of the Contemplated Transactions; (ii) any Legal Proceeding against or involving or otherwise affecting Parent or its Subsidiaries is commenced, or, to the Knowledge of Parent, threatened in writing against Parent or its Subsidiaries or, to the Knowledge of Parent, any director or officer of Parent or its Subsidiaries in such individual’s capacity as such; (iii) Parent becomes aware of any inaccuracy in any representation or warranty made by it or Merger Sub in this Agreement; or (iv) the failure of Parent or Merger Sub to comply with any covenant or obligation of Parent or Merger Sub; in the case of (iii) and (iv) that would reasonably be expected to make the timely satisfaction of any of the conditions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as applicable, impossible or materially less likely. No notification given to the Company pursuant to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shall change, limit or otherwise affect any of the representations, warranties, covenants or obligations of Parent or any of its Subsidiaries contained in this Agreement or the Parent Disclosure Schedule for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Pre-Closing Period, Parent shall promptly (and in any event within five (5) Business Days) notify the Company in writing of (i) all indebtedness for borrowed money of Parent or any of its Subsidiaries outstanding as of the date of this Agreement, to the extent not previously disclosed in the Parent Disclosure Schedule or the Parent SEC Documents, and (ii) any indebtedness for borrowed money incurred or guaranteed by Parent or any of its Subsidiaries after the date of this Agreement, including any loans, notes, credit facilities, guarantees, or other obligations in the nature of indebtedness, together with, in each case, a reasonably detailed description of the principal amount, interest rate, maturity date, counterparty, and any security or collateral granted in connection therewith. For the avoidance of doubt, the foregoing disclosure obligation shall apply regardless of whether such indebtedness was incurred in the Ordinary Course of Business or is otherwise permitted under </w:t>
      </w:r>
      <w:r>
        <w:rPr>
          <w:rFonts w:ascii="Times New Roman;Times;Serif" w:hAnsi="Times New Roman;Times;Serif"/>
          <w:b w:val="false"/>
          <w:i w:val="false"/>
          <w:caps w:val="false"/>
          <w:smallCaps w:val="false"/>
          <w:sz w:val="20"/>
          <w:u w:val="single"/>
        </w:rPr>
        <w:t>Section 5.1(b)(v)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deliver to Parent, by no later than September 30, 2026, audited consolidated financial statements of the Company and its consolidated Subsidiaries as of and for the fiscal years ended December 31, 2024 and December 31, 2025, consisting of (i) audited consolidated balance sheets as of such dates, (ii) audited consolidated statements of operations for the twelve (12)-month periods ended on such dates, and (iii) audited consolidated statements of cash flows for the twelve (12)-month periods ended on such dates (collectively, the “</w:t>
      </w:r>
      <w:r>
        <w:rPr>
          <w:rFonts w:ascii="Times New Roman;Times;Serif" w:hAnsi="Times New Roman;Times;Serif"/>
          <w:b/>
          <w:i w:val="false"/>
          <w:caps w:val="false"/>
          <w:smallCaps w:val="false"/>
          <w:sz w:val="20"/>
        </w:rPr>
        <w:t>Audited Financials</w:t>
      </w:r>
      <w:r>
        <w:rPr>
          <w:rFonts w:ascii="Times New Roman;Times;Serif" w:hAnsi="Times New Roman;Times;Serif"/>
          <w:b w:val="false"/>
          <w:i w:val="false"/>
          <w:caps w:val="false"/>
          <w:smallCaps w:val="false"/>
          <w:sz w:val="20"/>
        </w:rPr>
        <w:t>”). The Audited Financials shall (i) be prepared from the books and records of the Company; (ii) be prepared on an accrual basis in accordance with GAAP applied on a consistent basis throughout the periods indicated, except as may be disclosed therein or in the notes thereto; and (iii) fairly present, in all material respects, the consolidated financial position of the Company as of the dates thereof and the consolidated results of operations and cash flows of the Company for the periods reflected therein, and shall be audited in accordance with the standards of the Public Company Accounting Oversight Board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xml:space="preserve">”) by an independent registered public accounting firm within the meaning of the Exchange Act and the applicable rules and regulations thereunder adopted by the SEC and the PCAOB. The Audited Financials shall be prepared in compliance with the financial statement requirements applicable to domestic issuers under Regulation S-X and shall be suitable for inclusion in any registration statement under the Securities Act required pursuant to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or the PIPE Registration Rights Agreement and the Nasdaq Listing Application. In addition, the Company shall provide to Parent, at Parent’s sole cost and expense, any necessary updates, amendments, restatements or revisions to the Audited Financials such that they remain compliant with Section 3-05 of Regulation S-X promulgated under the Securities Act as required in order to consummate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Parent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relating to an Acquisition Proposal or Acquisition Inquiry; (ii) furnish any non-public information regarding Parent or any of its Subsidiaries to any Person in connection with or in response to an Acquisition Proposal or Acquisition Inquiry; (iii) engage in discussions or negotiations with any Person with respect to any Acquisition Proposal or Acquisition Inquiry; (iv) approve, endorse or recommend any Acquisition Proposal; (v) execute or enter into any letter of intent or any Contract contemplating or otherwise relating to any Acquisition Transaction (other than any confidentiality agreement that is no less favorable to Parent than the Confidentiality Agreement, except for such changes specifically necessary in order for Parent and Merger Sub to be able to comply with their obligations hereunder); or (vi) publicly propose to do any of the foregoing. Without limiting the generality of the foregoing, Parent acknowledges and agrees that, in the event any Representative of Parent (whether or not such Representative is purporting to act on behalf of Parent) takes any action that, if taken by Parent, would constitute a breach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the taking of such action by such Representative shall be deemed to constitute a breach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by Parent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Parent or any Representative of Parent receives an Acquisition Proposal or Acquisition Inquiry at any time during the Pre-Closing Period, then Parent shall promptly (and in no event later than two (2) Business Days after Parent becomes aware of such Acquisition Proposal or Acquisition Inquiry) advise the Company orally and in writing of such Acquisition Proposal or Acquisition Inquiry (including the identity of the Person making or submitting such Acquisition Proposal or Acquisition Inquiry, and the material terms thereof). Parent shall keep the Company reasonably informed with respect to the status and material terms of any such Acquisition Proposal or Acquisition Inquiry and any material modification or proposed material modification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date of this Agreement, Parent shall immediately cease and cause to be terminated any existing discussions, negotiations and communications with any Person that relate to any Acquisition Proposal or Acquisition Inquiry and request the destruction or return of any nonpublic information of Parent or any of its Subsidiaries provided to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Company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Company and the Sellers agrees that, during the Pre-Closing Period, none of the Company and the Sellers shall, nor shall they authorize any of their respective Representatives to, directly or indirectly: (i) solicit, initiate or knowingly encourage, induce or facilitate the communication, making, submission or announcement of any Acquisition Proposal or Acquisition Inquiry or take any action relating to an Acquisition Proposal or Acquisition Inquiry; (ii) furnish any non-public information regarding the Company to any Person in connection with or in response to an Acquisition Proposal or Acquisition Inquiry; (iii) engage in discussions or negotiations with any Person with respect to any Acquisition Proposal or Acquisition Inquiry; (iv) approve, endorse or recommend any Acquisition Proposal; (v) execute or enter into any letter of intent or any Contract contemplating or otherwise relating to any Acquisition Transaction (other than any confidentiality agreement that is no less favorable to the Company than the Confidentiality Agreement, except for such changes specifically necessary in order for the Company to be able to comply with its obligations hereunder); or (vi) publicly propose to do any of the foregoing. Without limiting the generality of the foregoing, each of the Company and the Sellers acknowledges and agrees that, in the event any Representative of the Company or the Sellers (whether or not such Representative is purporting to act on behalf of the Company or the Sellers) takes any action that, if taken by the Company or the Sellers, would constitute a breach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the taking of such action by such Representative shall be deemed to constitute a breach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by the Company or the Sellers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or any Representative of the Company receives an Acquisition Proposal or Acquisition Inquiry at any time during the Pre-Closing Period, then the Company shall promptly (and in no event later than two (2) Business Days after the Company becomes aware of such Acquisition Proposal or Acquisition Inquiry) advise Parent orally and in writing of such Acquisition Proposal or Acquisition Inquiry (including the identity of the Person making or submitting such Acquisition Proposal or Acquisition Inquiry, and the material terms thereof). The Company shall keep Parent reasonably informed with respect to the status and material terms of any such Acquisition Proposal or Acquisition Inquiry and any material modification or proposed material modification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date of this Agreement, the Company and the Sellers shall immediately cease and cause to be terminated any existing discussions, negotiations and communications with any Person that relate to any Acquisition Proposal or Acquisition Inquiry and request the destruction or return of any nonpublic information of the Company or any of its Subsidiaries provided to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Repayment of SAFE</w:t>
      </w:r>
      <w:r>
        <w:rPr>
          <w:rFonts w:ascii="Times New Roman;Times;Serif" w:hAnsi="Times New Roman;Times;Serif"/>
          <w:b w:val="false"/>
          <w:i w:val="false"/>
          <w:caps w:val="false"/>
          <w:smallCaps w:val="false"/>
          <w:sz w:val="20"/>
        </w:rPr>
        <w:t>. Prior to the Closing, the Company shall satisfy in full all obligations under the SAFE Agreements through a cash payment of all outstanding amounts invested thereunder (the “</w:t>
      </w:r>
      <w:r>
        <w:rPr>
          <w:rFonts w:ascii="Times New Roman;Times;Serif" w:hAnsi="Times New Roman;Times;Serif"/>
          <w:b/>
          <w:i w:val="false"/>
          <w:caps w:val="false"/>
          <w:smallCaps w:val="false"/>
          <w:sz w:val="20"/>
        </w:rPr>
        <w:t>SAFE Satisfaction</w:t>
      </w:r>
      <w:r>
        <w:rPr>
          <w:rFonts w:ascii="Times New Roman;Times;Serif" w:hAnsi="Times New Roman;Times;Serif"/>
          <w:b w:val="false"/>
          <w:i w:val="false"/>
          <w:caps w:val="false"/>
          <w:smallCaps w:val="false"/>
          <w:sz w:val="20"/>
        </w:rPr>
        <w:t xml:space="preserve">”), pursuant to applicable Surrender and Termination of SAFE Agreement entered into by and between the Company and each SAFE Investor, each of which has been executed and delivered in substantially the form attached hereto as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Surrender and Termination of SAFE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ADDITIONAL AGREEMENTS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u w:val="single"/>
        </w:rPr>
        <w:t>Parent Shareholders’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following the date of this Agreement, and prior to Closing, Parent shall take all action necessary under applicable Law to call, give notice of and hold a general meeting of shareholders of Parent (the “</w:t>
      </w:r>
      <w:r>
        <w:rPr>
          <w:rFonts w:ascii="Times New Roman;Times;Serif" w:hAnsi="Times New Roman;Times;Serif"/>
          <w:b/>
          <w:i w:val="false"/>
          <w:caps w:val="false"/>
          <w:smallCaps w:val="false"/>
          <w:sz w:val="20"/>
        </w:rPr>
        <w:t>Parent Shareholders’ Meeting</w:t>
      </w:r>
      <w:r>
        <w:rPr>
          <w:rFonts w:ascii="Times New Roman;Times;Serif" w:hAnsi="Times New Roman;Times;Serif"/>
          <w:b w:val="false"/>
          <w:i w:val="false"/>
          <w:caps w:val="false"/>
          <w:smallCaps w:val="false"/>
          <w:sz w:val="20"/>
        </w:rPr>
        <w:t xml:space="preserve">”) for the purpose of obtaining the Required Parent Shareholder Approvals. Unless this Agreement is terminated in accordance with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prior to the Parent Shareholders’ Meeting, Parent shall use commercially reasonable efforts to solicit (or cause to be solicited) proxies in furtherance of obtaining the Required Parent Shareholder Approvals at the Parent Shareholders’ Meeting or any adjournment, delay or postponement thereof in accordance with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Parent shall take reasonable measures to ensure that all proxies solicited in connection with the Parent Shareholders’ Meeting are solicited in compliance with applicable Law and Existing Parent MAA; for the avoidance of doubt, Parent, as a foreign private issuer with securities exempt from Sections 14(a), 14(b), 14(c) and 14(f) of the Exchange Act pursuant to Rule 3a12-3(b) thereunder, shall not be required to comply with the U.S. federal proxy rules (including Regulation 14A) in connection with the solicitation of proxies in furtherance of obtaining the Required Parent Shareholder Approvals at the Parent Shareholders’ Meeting or any adjournment, delay or postponement thereof in accordance with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provided that any solicitation materials distributed to shareholders of Parent in connection with the Parent Shareholders’ Meeting shall not contain any untrue statement of a material fact or omit to state a material fact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be permitted to adjourn, delay or postpone the Parent Shareholders’ Meeting only if and to the extent necessary to obtain the Required Parent Shareholder Approvals. If the Required Parent Shareholder Approvals are not obtained at the Parent Shareholders’ Meeting or if on a date preceding the date originally scheduled for the Parent Shareholders’ Meeting, Parent reasonably believes that (i) proxies sufficient to obtain the Required Parent Shareholder Approvals, whether or not quorum would be present at the Parent Shareholders’ Meeting, would not be obtained at the Parent Shareholders’ Meeting on the date originally scheduled for the Parent Shareholders’ Meeting, or (ii) shareholders of Parent (whether in person, through their authorized representative or by proxy) sufficient to constitute a quorum necessary to conduct the business of the Parent Shareholders’ Meeting will not be present at the Parent Shareholders’ Meeting on the date originally scheduled for the Parent Shareholders’ Meeting, then, in each case, Parent will use its reasonable best efforts to adjourn or postpone the Parent Shareholders’ Meeting one or more times to a date or dates no more than seven (7) days after the originally scheduled date for the Parent Shareholders’ Meeting in order to obtain the Required Parent Shareholder Approvals at such adjournment or postponement.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agrees that: (i) the notice of the Parent Shareholders’ Meeting and any related solicitation materials shall include the Parent Board’s recommendation that, upon the terms and subject to the conditions set forth in this Agreement, the shareholders of Parent vote to provide Required Parent Shareholder Approvals at the Parent Shareholders’ Meeting (such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 and (ii) the Parent Board Recommendation shall not be withheld, amended, withdrawn or modified (and the Parent Board shall not publicly propose to withhold, amend, withdraw or modify the Parent Board Recommendation) in a manner adverse to the Company, in each case, unless the Parent Board determines, in good faith, after consultation with its outside legal counsel, that the failure to take such action would be inconsistent with the fiduciary duties of Parent’s directors under applicable Laws (the actions set forth in the foregoing clause (ii), collectively, a “</w:t>
      </w:r>
      <w:r>
        <w:rPr>
          <w:rFonts w:ascii="Times New Roman;Times;Serif" w:hAnsi="Times New Roman;Times;Serif"/>
          <w:b/>
          <w:i w:val="false"/>
          <w:caps w:val="false"/>
          <w:smallCaps w:val="false"/>
          <w:sz w:val="20"/>
        </w:rPr>
        <w:t>Parent Board Adverse Recommendation Change</w:t>
      </w:r>
      <w:r>
        <w:rPr>
          <w:rFonts w:ascii="Times New Roman;Times;Serif" w:hAnsi="Times New Roman;Times;Serif"/>
          <w:b w:val="false"/>
          <w:i w:val="false"/>
          <w:caps w:val="false"/>
          <w:smallCaps w:val="false"/>
          <w:sz w:val="20"/>
        </w:rPr>
        <w:t xml:space="preserve">”). No Parent Board Adverse Recommendation Change shall permit Parent to (i) not call, give notice of and hold the Parent Shareholders’ Meeting, or (ii) adjourn, delay or postpone the Parent Shareholders’ Meeting other than in accordance with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avoidance of doubt, the Parties acknowledge and agree that any notices, circulars or solicitation materials distributed to shareholders of Parent in connection with the Parent Shareholders’ Meeting shall be furnished to the U.S. Securities and Exchange Commission on a Report on Form 6-K promptly following such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u w:val="single"/>
        </w:rPr>
        <w:t>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to indemnification, advancement of expenses and exculpation of present and former directors and officers of Parent or any of its Subsidiaries under any indemnification, advancement or exculpation provisions of Parent’s or any such Subsidiaries’ Organizational Documents and any indemnification agreements, in each case, as in effect on the date hereof shall not be amended, modified or repealed for a period of six years from the Effective Time in a manner that would adversely affect the rights thereunder of individuals who, at or prior to the Effective Time, were officers or directors of Parent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Effective Time, Parent shall, and shall cause each of its Subsidiaries to, fulfill and honor in all respects the obligations of Parent and its Subsidiaries to each Person who is now, or has been at any time prior to the date hereof, or who becomes prior to the Effective Time, a director or officer of Parent or any of its Subsidiaries (the “</w:t>
      </w:r>
      <w:r>
        <w:rPr>
          <w:rFonts w:ascii="Times New Roman;Times;Serif" w:hAnsi="Times New Roman;Times;Serif"/>
          <w:b/>
          <w:i w:val="false"/>
          <w:caps w:val="false"/>
          <w:smallCaps w:val="false"/>
          <w:sz w:val="20"/>
        </w:rPr>
        <w:t>Parent D&amp;O Indemnified Parties</w:t>
      </w:r>
      <w:r>
        <w:rPr>
          <w:rFonts w:ascii="Times New Roman;Times;Serif" w:hAnsi="Times New Roman;Times;Serif"/>
          <w:b w:val="false"/>
          <w:i w:val="false"/>
          <w:caps w:val="false"/>
          <w:smallCaps w:val="false"/>
          <w:sz w:val="20"/>
        </w:rPr>
        <w:t>”) under any indemnification, advancement or exculpation provisions under Parent’s or any such Subsidiaries’ Organizational Documents and pursuant to any indemnification agreements between Parent or any such Subsidiary, on the one hand, and such Parent D&amp;O Indemnified Parties, on the other hand with respect to claims arising out of any act or omission of the Parent D&amp;O Indemnified Parties occurring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Surviving Corporation’s (i) certificate of incorporation shall contain provisions exculpating directors and officers that are no less favorable to directors than those contained in the certificate of incorporation of the Company as in effect immediately prior to the Effective Time and (ii) bylaws shall contain provisions indemnifying and advancing expenses to directors and officers that are no less favorable than those contained in the bylaws of the Company immediately prior to the Effective Time, and such provisions shall not be amended, modified or repealed for a period of six years from the Effective Time in a manner that would adversely affect the rights of directors and officers of the Company thereunder. The rights to indemnification, advancement of expenses and exculpation of present and former directors and officers of the Company under any indemnification agreements, as in effect on the date hereof shall not be amended, modified or repealed for a period of six years from the Effective Time in a manner that would adversely affect the rights thereunder of individuals who, at or prior to the Effective Time, were officers or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Effective Time, the Surviving Corporation shall fulfill and honor in all respects the obligations of the Company to each Person who is now, or has been at any time prior to the date hereof, or who becomes prior to the Effective Time, a director or officer of the Company (the “</w:t>
      </w:r>
      <w:r>
        <w:rPr>
          <w:rFonts w:ascii="Times New Roman;Times;Serif" w:hAnsi="Times New Roman;Times;Serif"/>
          <w:b/>
          <w:i w:val="false"/>
          <w:caps w:val="false"/>
          <w:smallCaps w:val="false"/>
          <w:sz w:val="20"/>
        </w:rPr>
        <w:t>Company D&amp;O Indemnified Parties</w:t>
      </w:r>
      <w:r>
        <w:rPr>
          <w:rFonts w:ascii="Times New Roman;Times;Serif" w:hAnsi="Times New Roman;Times;Serif"/>
          <w:b w:val="false"/>
          <w:i w:val="false"/>
          <w:caps w:val="false"/>
          <w:smallCaps w:val="false"/>
          <w:sz w:val="20"/>
        </w:rPr>
        <w:t>” and collectively with the Parent D&amp;O Indemnified Parties, the “</w:t>
      </w:r>
      <w:r>
        <w:rPr>
          <w:rFonts w:ascii="Times New Roman;Times;Serif" w:hAnsi="Times New Roman;Times;Serif"/>
          <w:b/>
          <w:i w:val="false"/>
          <w:caps w:val="false"/>
          <w:smallCaps w:val="false"/>
          <w:sz w:val="20"/>
        </w:rPr>
        <w:t>D&amp;O Indemnified Parties</w:t>
      </w:r>
      <w:r>
        <w:rPr>
          <w:rFonts w:ascii="Times New Roman;Times;Serif" w:hAnsi="Times New Roman;Times;Serif"/>
          <w:b w:val="false"/>
          <w:i w:val="false"/>
          <w:caps w:val="false"/>
          <w:smallCaps w:val="false"/>
          <w:sz w:val="20"/>
        </w:rPr>
        <w:t>”) under any indemnification, advancement or exculpation provisions under the Company’s Organizational Documents and pursuant to any indemnification agreements between the Company and such D&amp;O Indemnified Parties, with respect to claims arising out of any act or omission of the Company D&amp;O Indemnified Parties occurring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and after the Effective Time, Parent shall continue to maintain directors’ and officers’ liability insurance policies covering the D&amp;O Indemnified Parties, with an effective date as of the Closing Date, on commercially available terms and conditions and with coverage limits customary for U.S. public companies similarly situated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are intended to be in addition to the rights otherwise available to the current and former officers and directors of Parent, any of its Subsidiaries and the Company under applicable Law, any Organizational Documents of Parent, its Subsidiaries and the Company, respectively, and shall operate for the benefit of, and shall be enforceable by, each of the D&amp;O Indemnified Parties, their heirs and their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u w:val="single"/>
        </w:rPr>
        <w:t>Efforts</w:t>
      </w:r>
      <w:r>
        <w:rPr>
          <w:rFonts w:ascii="Times New Roman;Times;Serif" w:hAnsi="Times New Roman;Times;Serif"/>
          <w:b w:val="false"/>
          <w:i w:val="false"/>
          <w:caps w:val="false"/>
          <w:smallCaps w:val="false"/>
          <w:sz w:val="20"/>
        </w:rPr>
        <w:t>. The Parties shall use reasonable best efforts to take, or cause to be taken, all actions necessary to consummate the Contemplated Transactions. Without limiting the generality of the foregoing, each Party to this Agreement: (a) shall make all filings and other submissions (if any) and give all notices (if any) required to be made and given by such Party in connection with the Contemplated Transactions; (b) shall use reasonable best efforts to obtain each Consent (if any) reasonably required to be obtained (pursuant to any applicable Law or Contract, or otherwise) by such Party in connection with the Contemplated Transactions or for such Contract to remain in full force and effect; (c) shall use reasonable best efforts to lift any injunction prohibiting, or any other legal bar to, the Contemplated Transactions; and (d) shall use reasonable best efforts to satisfy the conditions precedent to the consummation of this Agreement. In the event that Parent determines, or is advised by outside legal counsel, that Parent no longer qualifies as a “foreign private issuer” as defined in Rule 3b-4 under the Exchange Act as a result of or in connection with the Contemplated Transactions, Parent shall use its reasonable best efforts to take all actions necessary to comply on a timely basis with any additional reporting, disclosure, and filing obligations arising from such loss of foreign private issuer status, including, without limitation, compliance with the U.S. federal proxy rules under Regulation 14A, the reporting requirements of Section 16 of the Exchange Act, and any other requirements of the Exchange Act and the rules and regulations of the SEC and Nasdaq applicable to domestic issuers; provided, that the Company shall reasonably cooperate with Parent and shall promptly furnish to Parent all information concerning the Company and its business reasonably required in connection with any such additional disclosure obligations; provided, however, that such cooperation and furnishing obligations shall not require the Company to provide or furnish information (x) to the extent that any Law applicable to the Company requires the Company to restrict or prohibit access or (y) if doing so could result in the waiver of the attorney-client privilege, work product doctrine or similar provision or protection, subject to the same limitations set forth in the proviso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u w:val="single"/>
        </w:rPr>
        <w:t>Listing</w:t>
      </w:r>
      <w:r>
        <w:rPr>
          <w:rFonts w:ascii="Times New Roman;Times;Serif" w:hAnsi="Times New Roman;Times;Serif"/>
          <w:b w:val="false"/>
          <w:i w:val="false"/>
          <w:caps w:val="false"/>
          <w:smallCaps w:val="false"/>
          <w:sz w:val="20"/>
        </w:rPr>
        <w:t>. Parent shall prepare and submit to Nasdaq a Listing of Additional Shares Notification Form (“</w:t>
      </w:r>
      <w:r>
        <w:rPr>
          <w:rFonts w:ascii="Times New Roman;Times;Serif" w:hAnsi="Times New Roman;Times;Serif"/>
          <w:b/>
          <w:i w:val="false"/>
          <w:caps w:val="false"/>
          <w:smallCaps w:val="false"/>
          <w:sz w:val="20"/>
        </w:rPr>
        <w:t>LAS Notice</w:t>
      </w:r>
      <w:r>
        <w:rPr>
          <w:rFonts w:ascii="Times New Roman;Times;Serif" w:hAnsi="Times New Roman;Times;Serif"/>
          <w:b w:val="false"/>
          <w:i w:val="false"/>
          <w:caps w:val="false"/>
          <w:smallCaps w:val="false"/>
          <w:sz w:val="20"/>
        </w:rPr>
        <w:t>”) describing the Contemplated Transactions at least fifteen (15) calendar days prior, and in advance of submission, and Parent shall provide the Company with a reasonable opportunity to review and comment on such LAS Notice, which comments Parent shall consider in good faith. In the event that Parent receives any communication from Nasdaq in response to such LAS Notice prior to the Closing, Parent shall promptly inform the Company of same in reasonable detail and, to the extent such communication from Nasdaq is in writing, share such communication with the Company. Parent shall also prepare and submit to Nasdaq (i) a Company Event Notification Form notifying Nasdaq of any changes in the name of Parent, including the intended change of Parent’s name to “Canopy Wave Holdings Inc.” and the intended change of Parent’s Nasdaq ticker symbol to “CWAV,” in each case subject to receipt of the Required Parent Shareholder Approvals and any other applicable Nasdaq approvals, and (ii) if required by the rules and regulations of Nasdaq, an initial listing application covering the Parent Class A Ordinary Shares to be issued in connection with the Contemplated Transactions (the “</w:t>
      </w:r>
      <w:r>
        <w:rPr>
          <w:rFonts w:ascii="Times New Roman;Times;Serif" w:hAnsi="Times New Roman;Times;Serif"/>
          <w:b/>
          <w:i w:val="false"/>
          <w:caps w:val="false"/>
          <w:smallCaps w:val="false"/>
          <w:sz w:val="20"/>
        </w:rPr>
        <w:t>Nasdaq Listing Application</w:t>
      </w:r>
      <w:r>
        <w:rPr>
          <w:rFonts w:ascii="Times New Roman;Times;Serif" w:hAnsi="Times New Roman;Times;Serif"/>
          <w:b w:val="false"/>
          <w:i w:val="false"/>
          <w:caps w:val="false"/>
          <w:smallCaps w:val="false"/>
          <w:sz w:val="20"/>
        </w:rPr>
        <w:t xml:space="preserve">”). The Parties shall use reasonable best efforts to coordinate with respect to compliance with Nasdaq rules and regulations, including the substantive initial listing requirements applicable to the post-closing combined company, and cause such Nasdaq Listing Application to be conditionally approved prior to the Effective Time. Each Party will promptly inform the other Party of all verbal or written communications between Nasdaq and such Party or its representatives. Parent shall pay all Nasdaq fees associated with the LAS Notice and the Nasdaq Listing Application. The Company shall reasonably cooperate with Parent as reasonably requested by Parent and shall promptly furnish to Parent all information (including the Company’s audited financial statements) concerning the Company and its stockholders, required or reasonably requested in connection with any action contemplated by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provided, however, that such cooperation and furnishing obligations shall not require the Company to provide or furnish information (x) to the extent that any Law applicable to the Company requires the Company to restrict or prohibit access or (y) if doing so could result in the waiver of the attorney-client privilege, work product doctrine or similar provision or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For United States federal income Tax purposes, (i) the Parties intend that the Merger shall qualify as a “reorganization” within the meaning of Section 368(a) of the Code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xml:space="preserve">”), and (ii) this Agreement is intended to be, and is hereby adopted as, a “plan of reorganization” for purposes of Sections 354 and 361 of the Code and Treasury Regulations Sections 1.368-2(g) and 1.368-3(a), to which Parent, Merger Sub and the Company are parties under Section 368(b) of the Code; it being understood that the Intended Tax Treatment includes both (x) the qualification of the Merger as a reorganization under Section 368(a) of the Code and (y) to the extent applicable, the preservation of tax-free treatment for each of Tao and James under Section 367(a) of the Code, subject to and conditioned upon the filing and maintenance of any required gain recognition agreements as provided in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The Parties shall treat and shall not take any Tax reporting position (including during the course of any audit, litigation or other proceeding with respect to Taxes) inconsistent with the treatment of the Merger as a reorganization within the meaning of Section 368(a) of the Code for U.S. federal, state and other relevant Tax purposes, unless otherwise required pursuant to a “determination” within the meaning of Section 1313(a) of the Code (and any other similar applicable state and other relevant Tax law). The Parties shall (and shall cause their Affiliates to) use their respective reasonable best efforts to cause the Merger to qualify, and will not take any action or cause any action to be taken, or fail to take or cause any action to be taken, which action or failure to act would reasonably be expected to prevent the Merger from qualifying, for the Intended Tax Treatment; provided, that no Party shall be deemed in breach of this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for taking or failing to take any action (i) required by applicable Law, (ii) expressly contemplated or permitted by this Agreement or any other Transaction Agreement, or (iii) taken with the prior written consent of the other Parties. For the avoidance of doubt, the failure of Tao or James to timely file or maintain a GRA as required under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except to the extent such failure is caused by the Parent’s failure to fulfill its obligations under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shall be the sole responsibility of such Person, and no other Party shall be in breach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as a result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367(a) Compliance</w:t>
      </w:r>
      <w:r>
        <w:rPr>
          <w:rFonts w:ascii="Times New Roman;Times;Serif" w:hAnsi="Times New Roman;Times;Serif"/>
          <w:b w:val="false"/>
          <w:i w:val="false"/>
          <w:caps w:val="false"/>
          <w:smallCaps w:val="false"/>
          <w:sz w:val="20"/>
        </w:rPr>
        <w:t>. Each of Tao and James acknowledges that the Merger may be subject to Section 367(a) of the Code. In order to ensure that the Merger is treated as tax-free for United States federal and applicable state and local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Tao and James shall, within the time and in the manner prescribed by Treasury Regulations Section 1.367(a)-8 (including by filing a GRA with the Internal Revenue Service as part of such Person’s United States federal income Tax Return for the taxable year of the Merger), timely enter into, execute, and file a gain recognition agreement with the Internal Revenue Service in the form and manner prescribed by Treasury Regulations Section 1.367(a)-8 (each, a “</w:t>
      </w:r>
      <w:r>
        <w:rPr>
          <w:rFonts w:ascii="Times New Roman;Times;Serif" w:hAnsi="Times New Roman;Times;Serif"/>
          <w:b/>
          <w:i w:val="false"/>
          <w:caps w:val="false"/>
          <w:smallCaps w:val="false"/>
          <w:sz w:val="20"/>
        </w:rPr>
        <w:t>GRA</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Parent hereby agrees to be a party to each such GRA as the “transferee foreign corporation” within the meaning of Treasury Regulations Section 1.367(a)-8(b)(1)(iii), and shall execute any forms or agreements required under Treasury Regulations Section 1.367(a)-8 as the transferee foreign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the term of any GRA, Parent shall not, and shall cause the Surviving Corporation and its Subsidiaries not to, take any action that would constitute a “triggering event” under Treasury Regulations Section 1.367(a)-8(j), including any disposition of any stock of the Surviving Corporation or any other “transferred corporation” (as defined in Treasury Regulations Section 1.367(a)-8(b)(1)(ii)) that would give rise to gain recognition under a GRA, without the prior written consent of the applicable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Parent shall provide prompt written notice to each of Tao and James upon becoming aware of any event that Parent reasonably believes constitutes or could constitute a triggering event under any GRA;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Parties shall cooperate in good faith and provide each other with such assistance as may be reasonably required in connection with the preparation, execution, filing, and maintenance of any GRA, including the timely preparation and filing of any annual certification required under Treasury Regulations Section 1.367(a)-8(f)(1).</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Pre-Closing Tax Returns; Straddle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Preparation of Pre-Closing Tax Returns</w:t>
      </w:r>
      <w:r>
        <w:rPr>
          <w:rFonts w:ascii="Times New Roman;Times;Serif" w:hAnsi="Times New Roman;Times;Serif"/>
          <w:b w:val="false"/>
          <w:i w:val="false"/>
          <w:caps w:val="false"/>
          <w:smallCaps w:val="false"/>
          <w:sz w:val="20"/>
        </w:rPr>
        <w:t>. The Sellers shall have the right to prepare, or cause to be prepared, all Tax Returns of the Company for all Tax periods ending on or before the Closing Date (each, a “</w:t>
      </w:r>
      <w:r>
        <w:rPr>
          <w:rFonts w:ascii="Times New Roman;Times;Serif" w:hAnsi="Times New Roman;Times;Serif"/>
          <w:b/>
          <w:i w:val="false"/>
          <w:caps w:val="false"/>
          <w:smallCaps w:val="false"/>
          <w:sz w:val="20"/>
        </w:rPr>
        <w:t>Pre-Closing Tax Return</w:t>
      </w:r>
      <w:r>
        <w:rPr>
          <w:rFonts w:ascii="Times New Roman;Times;Serif" w:hAnsi="Times New Roman;Times;Serif"/>
          <w:b w:val="false"/>
          <w:i w:val="false"/>
          <w:caps w:val="false"/>
          <w:smallCaps w:val="false"/>
          <w:sz w:val="20"/>
        </w:rPr>
        <w:t>”), which Pre-Closing Tax Returns shall be prepared consistent with the past practice of the Company except as otherwise required by applicable Law. The Sellers shall deliver each such Pre-Closing Tax Return to Parent for review and comment no later than thirty (30) days prior to the applicable due date (including extensions). Parent shall provide any comments to the Sellers within fifteen (15) days of receipt. The Sellers shall incorporate any reasonable comments provided by Parent; provided, that any position on a Pre-Closing Tax Return that would reasonably be expected to affect a post-Closing Tax period or increase the Tax liability of Parent or the Surviving Corporation shall be subject to Parent’s prior written consent (not to be unreasonably withheld, conditioned or delayed). The Sellers shall file or cause to be filed all such Pre-Closing Tax Returns by the applicable due date (including any valid extensions).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Straddle Period Tax Returns</w:t>
      </w:r>
      <w:r>
        <w:rPr>
          <w:rFonts w:ascii="Times New Roman;Times;Serif" w:hAnsi="Times New Roman;Times;Serif"/>
          <w:b w:val="false"/>
          <w:i w:val="false"/>
          <w:caps w:val="false"/>
          <w:smallCaps w:val="false"/>
          <w:sz w:val="20"/>
        </w:rPr>
        <w:t>. Parent shall prepare, or cause to be prepared, all Tax Returns of the Company for any Tax period that begins before and ends after the Closing Date (each, a “</w:t>
      </w:r>
      <w:r>
        <w:rPr>
          <w:rFonts w:ascii="Times New Roman;Times;Serif" w:hAnsi="Times New Roman;Times;Serif"/>
          <w:b/>
          <w:i w:val="false"/>
          <w:caps w:val="false"/>
          <w:smallCaps w:val="false"/>
          <w:sz w:val="20"/>
        </w:rPr>
        <w:t>Straddle Period</w:t>
      </w:r>
      <w:r>
        <w:rPr>
          <w:rFonts w:ascii="Times New Roman;Times;Serif" w:hAnsi="Times New Roman;Times;Serif"/>
          <w:b w:val="false"/>
          <w:i w:val="false"/>
          <w:caps w:val="false"/>
          <w:smallCaps w:val="false"/>
          <w:sz w:val="20"/>
        </w:rPr>
        <w:t>,” and each such Tax Return, a “</w:t>
      </w:r>
      <w:r>
        <w:rPr>
          <w:rFonts w:ascii="Times New Roman;Times;Serif" w:hAnsi="Times New Roman;Times;Serif"/>
          <w:b/>
          <w:i w:val="false"/>
          <w:caps w:val="false"/>
          <w:smallCaps w:val="false"/>
          <w:sz w:val="20"/>
        </w:rPr>
        <w:t>Straddle Period Tax Return</w:t>
      </w:r>
      <w:r>
        <w:rPr>
          <w:rFonts w:ascii="Times New Roman;Times;Serif" w:hAnsi="Times New Roman;Times;Serif"/>
          <w:b w:val="false"/>
          <w:i w:val="false"/>
          <w:caps w:val="false"/>
          <w:smallCaps w:val="false"/>
          <w:sz w:val="20"/>
        </w:rPr>
        <w:t>”), at Parent’s expense, and shall be prepared consistent with the past practice of the Company except as otherwise required by applicable Law. The Sellers shall have the right to review and comment on each Straddle Period Tax Return no later than thirty (30) days prior to the applicable due date. Parent shall implement any reasonable comments provided by the Sellers.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Allocation of Straddle Period Taxes</w:t>
      </w:r>
      <w:r>
        <w:rPr>
          <w:rFonts w:ascii="Times New Roman;Times;Serif" w:hAnsi="Times New Roman;Times;Serif"/>
          <w:b w:val="false"/>
          <w:i w:val="false"/>
          <w:caps w:val="false"/>
          <w:smallCaps w:val="false"/>
          <w:sz w:val="20"/>
        </w:rPr>
        <w:t>. For purposes of determining the Indemnified Taxes attributable to a Straddle Period, the Parties shall use the closing-of-the-books method, in accordance with Treasury Regulations Section 1.1502-76 and analogous provisions of state, local, and non-U.S. Law. In the case of any Tax that is imposed on a periodic basis and that cannot be readily allocated using the closing-of-the-books method (such as property Taxes), such Tax shall be allocated between the pre-Closing and post-Closing portions of the Straddle Period on a pro-rata daily basis.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recording, and other similar Taxes and fees (including any related penalties and interest) that are levied by any Governmental Body in connection with the Merger or the Contemplated Transactions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Sellers; provided, that any penalties and interest attributable to the delay, error or failure to cooperate of a Party shall be borne solely by such Party. The Party responsible under applicable Law for filing Tax Returns with respect to Transfer Taxes shall prepare, or cause to be prepared, all necessary Tax Returns with respect to such Transfer Taxes, and the other Party shall cooperate as reasonably requested in connection therewith. The Parties shall cooperate in good faith to minimize or eliminate any Transfer Taxes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Certain Post-Closing 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with the prior written consent of the Sellers (not to be unreasonably withheld, conditioned or delayed), or as otherwise required pursuant to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 xml:space="preserve">, Parent shall not, and shall not permit any of its Affiliates (including, the Surviving Corporation from and after the Closing) to: (A) other than Tax Returns filed pursuant to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 xml:space="preserve">, file or amend or otherwise modify any Tax Return of the Company relating to any Pre-Closing Tax Period or any Straddle Period, (B) after the date any Tax Return of the Company for a Pre-Closing Tax Period or Straddle Period is filed pursuant to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 xml:space="preserve">, file or amend or otherwise modify any such Tax Return, (C) make or change any Tax election or Tax accounting method or practice with respect to or that has retroactive effect to a Pre-Closing Tax Period or Straddle Period of the Company, or (D) initiate any voluntary disclosure (or other communication reasonably expected to have a similar effect) with any taxing authority with respect to the Company for a Pre-Closing Tax Period or Straddle Period. The consent rights of the Sellers under this </w:t>
      </w:r>
      <w:r>
        <w:rPr>
          <w:rFonts w:ascii="Times New Roman;Times;Serif" w:hAnsi="Times New Roman;Times;Serif"/>
          <w:b w:val="false"/>
          <w:i w:val="false"/>
          <w:caps w:val="false"/>
          <w:smallCaps w:val="false"/>
          <w:sz w:val="20"/>
          <w:u w:val="single"/>
        </w:rPr>
        <w:t>Section 6.5(e)</w:t>
      </w:r>
      <w:r>
        <w:rPr>
          <w:rFonts w:ascii="Times New Roman;Times;Serif" w:hAnsi="Times New Roman;Times;Serif"/>
          <w:b w:val="false"/>
          <w:i w:val="false"/>
          <w:caps w:val="false"/>
          <w:smallCaps w:val="false"/>
          <w:sz w:val="20"/>
        </w:rPr>
        <w:t xml:space="preserve"> shall terminate upon the expiration of the applicable survival period for the Sellers’ indemnification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w:t>
      </w:r>
      <w:r>
        <w:rPr>
          <w:rFonts w:ascii="Times New Roman;Times;Serif" w:hAnsi="Times New Roman;Times;Serif"/>
          <w:b w:val="false"/>
          <w:i w:val="false"/>
          <w:caps w:val="false"/>
          <w:smallCaps w:val="false"/>
          <w:sz w:val="20"/>
          <w:u w:val="single"/>
        </w:rPr>
        <w:t>Section 6.5(e)(i)</w:t>
      </w:r>
      <w:r>
        <w:rPr>
          <w:rFonts w:ascii="Times New Roman;Times;Serif" w:hAnsi="Times New Roman;Times;Serif"/>
          <w:b w:val="false"/>
          <w:i w:val="false"/>
          <w:caps w:val="false"/>
          <w:smallCaps w:val="false"/>
          <w:sz w:val="20"/>
        </w:rPr>
        <w:t>, Parent shall not, and shall cause Merger Sub and the Surviving Corporation not to, (A) take any action after the Closing that would reasonably be expected to cause the Merger to fail to qualify for the Intended Tax Treatment, or (B) make any election under Sections 336 or 338 of the Code or any similar provision of state, local, or non-U.S. Tax Law with respect to the Merger without the prior written consent of the Sellers, which consent may be withheld in the Sellers’ sole discretion.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Parent shall not, and shall not permit any of its Affiliates (including the Surviving Corporation from and after Closing) to: take any action after the time of Closing on the Closing Date that is outside the ordinary course of business of the Surviving Corporation (as conducted after the Closing) and not contemplated by this Agreement or any other Transaction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Tax Contests</w:t>
      </w:r>
      <w:r>
        <w:rPr>
          <w:rFonts w:ascii="Times New Roman;Times;Serif" w:hAnsi="Times New Roman;Times;Serif"/>
          <w:b w:val="false"/>
          <w:i w:val="false"/>
          <w:caps w:val="false"/>
          <w:smallCaps w:val="false"/>
          <w:sz w:val="20"/>
        </w:rPr>
        <w:t xml:space="preserve">. If any Governmental Body issues to Parent or the Surviving Corporation (i) a notice of its intent to audit, examine or conduct a proceeding with respect to any Tax Returns of the Company for any Pre-Closing Tax Period or Straddle Period, or (ii) a notice of deficiency, a notice of its intent to assess a deficiency or a notice of proposed adjustment concerning any Tax Returns of the Company for any Pre-Closing Tax Period or Straddle Period (the items set forth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each a “</w:t>
      </w:r>
      <w:r>
        <w:rPr>
          <w:rFonts w:ascii="Times New Roman;Times;Serif" w:hAnsi="Times New Roman;Times;Serif"/>
          <w:b/>
          <w:i w:val="false"/>
          <w:caps w:val="false"/>
          <w:smallCaps w:val="false"/>
          <w:sz w:val="20"/>
        </w:rPr>
        <w:t>Tax Claim</w:t>
      </w:r>
      <w:r>
        <w:rPr>
          <w:rFonts w:ascii="Times New Roman;Times;Serif" w:hAnsi="Times New Roman;Times;Serif"/>
          <w:b w:val="false"/>
          <w:i w:val="false"/>
          <w:caps w:val="false"/>
          <w:smallCaps w:val="false"/>
          <w:sz w:val="20"/>
        </w:rPr>
        <w:t>”), Parent shall promptly notify the Sellers of the receipt of such communication. The Sellers shall have the right, at the Sellers’ sole cost and expense, to control, defend, settle and resolve the contest of any Tax Claim (a “</w:t>
      </w:r>
      <w:r>
        <w:rPr>
          <w:rFonts w:ascii="Times New Roman;Times;Serif" w:hAnsi="Times New Roman;Times;Serif"/>
          <w:b/>
          <w:i w:val="false"/>
          <w:caps w:val="false"/>
          <w:smallCaps w:val="false"/>
          <w:sz w:val="20"/>
        </w:rPr>
        <w:t>Tax Contest</w:t>
      </w:r>
      <w:r>
        <w:rPr>
          <w:rFonts w:ascii="Times New Roman;Times;Serif" w:hAnsi="Times New Roman;Times;Serif"/>
          <w:b w:val="false"/>
          <w:i w:val="false"/>
          <w:caps w:val="false"/>
          <w:smallCaps w:val="false"/>
          <w:sz w:val="20"/>
        </w:rPr>
        <w:t>”), so long as the Sellers provide written notice to Parent of their intent to control such Tax Contest within thirty (30) days after receiving notice of such matter, and Parent shall have the exclusive authority to control, defend, settle and resolve any Tax Contest that the Sellers do not have the right to control. If the Sellers fail to give such notice within such time period, then Parent shall have the exclusive right to control such Tax Contest. Each of Parent and the Sellers shall have the right to participate in a Tax Contest being defended against by the other at its sole expense and shall keep the other reasonably informed of the status of such Tax Contest (including providing copies of all material written correspondence with the IRS or other Tax authority regarding such matter). Notwithstanding anything to the contrary herein, (A) the Sellers shall not be entitled to settle, either administratively or after the commencement of litigation, any Tax Contest without the prior written consent of Parent, which consent will not be unreasonably withheld, conditioned or delayed, and (B) Parent shall not be entitled to settle, either administratively or after the commencement of litigation, any Tax Contest relating to any Pre-Closing Tax Period or Straddle Period without the prior written consent of the Sellers, which consent will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Each Party shall cooperate fully, and shall cause its respective Affiliates, officers, directors, employees, agents, auditors, and other representatives to cooperate fully, as and to the extent reasonably requested by the other Party, in connection with the filing of Tax Returns and any audit, litigation, or other proceeding with respect to Taxes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Tax Refunds</w:t>
      </w:r>
      <w:r>
        <w:rPr>
          <w:rFonts w:ascii="Times New Roman;Times;Serif" w:hAnsi="Times New Roman;Times;Serif"/>
          <w:b w:val="false"/>
          <w:i w:val="false"/>
          <w:caps w:val="false"/>
          <w:smallCaps w:val="false"/>
          <w:sz w:val="20"/>
        </w:rPr>
        <w:t>. The Sellers are entitled to all refunds (and the amount of any credits in lieu of refunds or any other reduction in liability for Tax payment), if any, that are received by Parent or the Company following the Closing and that are attributable to Taxes (including estimated or prepaid Taxes) paid by the Company with respect to any Pre-Closing Tax Period; provided, that the Sellers shall not be entitled to, and “refund” shall exclude, any refund, credit or reduction (i) attributable to the carryback of any Tax attribute arising in a Tax period (or portion thereof) beginning after the Closing Date, or (ii) that is required to be repaid to a customer or other third party. If Parent, the Surviving Corporation, or any Affiliate thereof receives such a refund (or a credit in lieu of a refund or any other reduction in liability for Tax payment), then within thirty (30) days after its receipt thereof Parent will, or will cause the Surviving Corporation to, deliver the same for the benefit of the Sellers, net of (A) any Taxes payable by Parent, the Surviving Corporation or any Affiliate thereof with respect to such refund, (B) any reasonable out-of-pocket costs incurred in obtaining such refund, and (C) any amounts then owed, or reasonably expected to become owed, by the Sellers to any Parent Indemnified Party under this Agreement (including in respect of Indemnified Taxes), which net amount Parent may set off and retain in satisfaction of such obligations. Upon the request of the Sellers and at the Sellers’ expense, Parent shall, and shall cause the Surviving Corporation to, work in good faith and use their commercially reasonable efforts to take any action reasonably requested by the Sellers to obtain Tax refunds with respect to Tax Returns filed after the Closing Date with respect to Pre-Closing Tax Periods.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val="false"/>
          <w:caps w:val="false"/>
          <w:smallCaps w:val="false"/>
          <w:sz w:val="20"/>
          <w:u w:val="single"/>
        </w:rPr>
        <w:t>Directors and Officers</w:t>
      </w:r>
      <w:r>
        <w:rPr>
          <w:rFonts w:ascii="Times New Roman;Times;Serif" w:hAnsi="Times New Roman;Times;Serif"/>
          <w:b w:val="false"/>
          <w:i w:val="false"/>
          <w:caps w:val="false"/>
          <w:smallCaps w:val="false"/>
          <w:sz w:val="20"/>
        </w:rPr>
        <w:t>. Parent shall take all necessary action, and the Sellers and the Company shall provide reasonable assistance, so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those current directors and officers of Parent and its Subsidiaries as set forth in </w:t>
      </w:r>
      <w:r>
        <w:rPr>
          <w:rFonts w:ascii="Times New Roman;Times;Serif" w:hAnsi="Times New Roman;Times;Serif"/>
          <w:b w:val="false"/>
          <w:i w:val="false"/>
          <w:caps w:val="false"/>
          <w:smallCaps w:val="false"/>
          <w:sz w:val="20"/>
          <w:u w:val="single"/>
        </w:rPr>
        <w:t>Schedule 6.6(a)</w:t>
      </w:r>
      <w:r>
        <w:rPr>
          <w:rFonts w:ascii="Times New Roman;Times;Serif" w:hAnsi="Times New Roman;Times;Serif"/>
          <w:b w:val="false"/>
          <w:i w:val="false"/>
          <w:caps w:val="false"/>
          <w:smallCaps w:val="false"/>
          <w:sz w:val="20"/>
        </w:rPr>
        <w:t xml:space="preserve"> shall have given notice in writing or by electronic transmission to Parent of their resignations as directors and/or officers (as applicable) effective at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following the Effective Time, the number of directors constituting the Parent Board shall be fixed at five (5) (as determined by Parent and the Company prior to distribution of the proxy statement and notice of meeting for the Parent Shareholders’ Meeting), a majority of whom shall qualify as “independent directors” as defined in Nasdaq rules and be eligible to serve on an audit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upon the Effective Time, the individuals designated by the Sellers in a written notice to Parent delivered no later than fifteen (15) Business Days prior to the Closing Date (the “</w:t>
      </w:r>
      <w:r>
        <w:rPr>
          <w:rFonts w:ascii="Times New Roman;Times;Serif" w:hAnsi="Times New Roman;Times;Serif"/>
          <w:b/>
          <w:i w:val="false"/>
          <w:caps w:val="false"/>
          <w:smallCaps w:val="false"/>
          <w:sz w:val="20"/>
        </w:rPr>
        <w:t>Director Designation Notice</w:t>
      </w:r>
      <w:r>
        <w:rPr>
          <w:rFonts w:ascii="Times New Roman;Times;Serif" w:hAnsi="Times New Roman;Times;Serif"/>
          <w:b w:val="false"/>
          <w:i w:val="false"/>
          <w:caps w:val="false"/>
          <w:smallCaps w:val="false"/>
          <w:sz w:val="20"/>
        </w:rPr>
        <w:t>”), which shall include (i) Tao, (ii) one (1) additional director who needs not qualify as “independent directors” as defined in the Nasdaq rules, and (iii) such number of individuals who each qualify as an “independent director” as defined in the Nasdaq rules and are eligible to serve on an audit committee as is necessary to constitute a majority of the Parent Board, shall have been elected or appointed to the Parent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upon the Effective Time, (i) Tao shall be appointed as the chief executive officer and chief operating officer of Parent, and (ii) James shall be appointed as the chief technology officer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immediately following the Effective Time, Parent will enter into an Indemnification Agreement with each director on the Parent Board in the form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(each, an “</w:t>
      </w:r>
      <w:r>
        <w:rPr>
          <w:rFonts w:ascii="Times New Roman;Times;Serif" w:hAnsi="Times New Roman;Times;Serif"/>
          <w:b/>
          <w:i w:val="false"/>
          <w:caps w:val="false"/>
          <w:smallCaps w:val="false"/>
          <w:sz w:val="20"/>
        </w:rPr>
        <w:t>Indemnification Agreement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Indemnification Agreements</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Effective Time, Parent shall enter into a consulting agreement with Jianwei Li (the “</w:t>
      </w:r>
      <w:r>
        <w:rPr>
          <w:rFonts w:ascii="Times New Roman;Times;Serif" w:hAnsi="Times New Roman;Times;Serif"/>
          <w:b/>
          <w:i w:val="false"/>
          <w:caps w:val="false"/>
          <w:smallCaps w:val="false"/>
          <w:sz w:val="20"/>
        </w:rPr>
        <w:t>Li Consulting Agreement</w:t>
      </w:r>
      <w:r>
        <w:rPr>
          <w:rFonts w:ascii="Times New Roman;Times;Serif" w:hAnsi="Times New Roman;Times;Serif"/>
          <w:b w:val="false"/>
          <w:i w:val="false"/>
          <w:caps w:val="false"/>
          <w:smallCaps w:val="false"/>
          <w:sz w:val="20"/>
        </w:rPr>
        <w:t>”) on terms mutually agreed upon by Parent and Jianwei Li, to be negotiated and finalized prior to the Closing and to be consistent with all applicable Law. The Li Consulting Agreement shall not grant Jianwei Li any board representation rights, consent rights, veto rights, or other governance rights with respect to Parent or any of its Subsidiaries, nor shall it grant any rights that would violate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Parent shall, with Company’s and Sellers’ reasonable assistance, use commercially reasonable efforts to take all such steps as may be required (to the extent permitted under applicable Laws) to cause any acquisitions of Parent Class A Ordinary Shares, restricted share awards to acquire Parent Class A Ordinary Shares and any Parent Options to purchase Parent Class A Ordinary Shares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 Each Party shall cooperate reasonably with the other Parties and shall provide the other Parties with such assistance as may be reasonably requested for the purpose of facilitating the performance by each Party of its respective obligations under this Agreement and to enable the combined entity to continue to meet its obligations following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i w:val="false"/>
          <w:caps w:val="false"/>
          <w:smallCaps w:val="false"/>
          <w:sz w:val="20"/>
          <w:u w:val="single"/>
        </w:rPr>
        <w:t>Closing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prepare and deliver to Parent prior to the Closing a certificate signed by the Chief Executive Officer of the Company in a form reasonably acceptable to Parent setting forth: (i) the name and address of each holder of (each, a “</w:t>
      </w:r>
      <w:r>
        <w:rPr>
          <w:rFonts w:ascii="Times New Roman;Times;Serif" w:hAnsi="Times New Roman;Times;Serif"/>
          <w:b/>
          <w:i w:val="false"/>
          <w:caps w:val="false"/>
          <w:smallCaps w:val="false"/>
          <w:sz w:val="20"/>
        </w:rPr>
        <w:t>Company Holder</w:t>
      </w:r>
      <w:r>
        <w:rPr>
          <w:rFonts w:ascii="Times New Roman;Times;Serif" w:hAnsi="Times New Roman;Times;Serif"/>
          <w:b w:val="false"/>
          <w:i w:val="false"/>
          <w:caps w:val="false"/>
          <w:smallCaps w:val="false"/>
          <w:sz w:val="20"/>
        </w:rPr>
        <w:t>”) (x) shares of Company Common Stock issued and outstanding immediately prior to the Effective Time and (y) Company Options outstanding immediately prior to the Effective Time; (ii) the number of shares of Company Common Stock (x) issued and outstanding immediately prior to the Effective Time and held by each Company Holder and (y) underlying the Company Options outstanding immediately prior to the Effective Time and held by each Company Holder; and (iii) (x) the number of Company Aggregate Share Consideration (specifying the class of Parent Ordinary Shares) to be issued to each Company Holder pursuant to this Agreement in respect of issued and outstanding shares of Company Common Stock held by such Company Holder immediately prior to the Effective Time, specifying, with respect to each Seller, (A) the gross number and class of Parent Ordinary Shares issuable to such Seller, (B) the number of Parent Class A Ordinary Shares constituting such Seller’s allocated portion of the Escrow Shares to be withheld and deposited with the Escrow Agent on behalf of such Seller, and (C) the net number and class of Parent Ordinary Shares to be delivered directly to such Seller at the Closing and (y) the number of Parent Class A Ordinary Shares underlying the New Parent Options to be issued pursuant to this Agreement in exchange for the Company Options outstanding immediately prior to the Effective Time and held by each Company Holder (the “</w:t>
      </w:r>
      <w:r>
        <w:rPr>
          <w:rFonts w:ascii="Times New Roman;Times;Serif" w:hAnsi="Times New Roman;Times;Serif"/>
          <w:b/>
          <w:i w:val="false"/>
          <w:caps w:val="false"/>
          <w:smallCaps w:val="false"/>
          <w:sz w:val="20"/>
        </w:rPr>
        <w:t>Allocation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will prepare and deliver to the Company prior to the Closing a certificate signed by the Chief Financial Officer of Parent in a form reasonably acceptable to the Company, setting forth, as of immediately prior to the Reference Date, the Parent Outstanding Shares (the “</w:t>
      </w:r>
      <w:r>
        <w:rPr>
          <w:rFonts w:ascii="Times New Roman;Times;Serif" w:hAnsi="Times New Roman;Times;Serif"/>
          <w:b/>
          <w:i w:val="false"/>
          <w:caps w:val="false"/>
          <w:smallCaps w:val="false"/>
          <w:sz w:val="20"/>
        </w:rPr>
        <w:t>Parent Outstanding Shares Certificate</w:t>
      </w:r>
      <w:r>
        <w:rPr>
          <w:rFonts w:ascii="Times New Roman;Times;Serif" w:hAnsi="Times New Roman;Times;Serif"/>
          <w:b w:val="false"/>
          <w:i w:val="false"/>
          <w:caps w:val="false"/>
          <w:smallCaps w:val="false"/>
          <w:sz w:val="20"/>
        </w:rPr>
        <w:t>”). The Parent Outstanding Shares Certificate shall also include a certification by the Chief Financial Officer of Parent that, as of the Closing Date, Parent has a sufficient number of authorized but unissued Parent Class A Ordinary Shares and Parent Class B Ordinary Shares to permit the issuance, or reservation for issuance (as applicable), of all of the following: (i) the Consideration Shares (including any Parent Class B Ordinary Shares and Parent Class A Ordinary Shares to be issued to the Sellers and the Parent Class A Ordinary Shares comprising the Reserved Option Pool); (ii) the Parent Class A Ordinary Shares to be issued to the PIPE Investors pursuant to the PIPE Share Purchase Agreement; and (iii) all Parent Class A Ordinary Shares issuable upon the exercise of outstanding Parent Options and the settlement of outstanding Parent RSUs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i w:val="false"/>
          <w:caps w:val="false"/>
          <w:smallCaps w:val="false"/>
          <w:sz w:val="20"/>
          <w:u w:val="single"/>
        </w:rPr>
        <w:t>Takeover Statutes</w:t>
      </w:r>
      <w:r>
        <w:rPr>
          <w:rFonts w:ascii="Times New Roman;Times;Serif" w:hAnsi="Times New Roman;Times;Serif"/>
          <w:b w:val="false"/>
          <w:i w:val="false"/>
          <w:caps w:val="false"/>
          <w:smallCaps w:val="false"/>
          <w:sz w:val="20"/>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i w:val="false"/>
          <w:caps w:val="false"/>
          <w:smallCaps w:val="false"/>
          <w:sz w:val="20"/>
          <w:u w:val="single"/>
        </w:rPr>
        <w:t>Obligations of Merger Sub</w:t>
      </w:r>
      <w:r>
        <w:rPr>
          <w:rFonts w:ascii="Times New Roman;Times;Serif" w:hAnsi="Times New Roman;Times;Serif"/>
          <w:b w:val="false"/>
          <w:i w:val="false"/>
          <w:caps w:val="false"/>
          <w:smallCaps w:val="false"/>
          <w:sz w:val="20"/>
        </w:rPr>
        <w:t>. Parent will take all action necessary to cause Merger Sub to perform its obligations under this Agreement and to consummate the Merger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i w:val="false"/>
          <w:caps w:val="false"/>
          <w:smallCaps w:val="false"/>
          <w:sz w:val="20"/>
          <w:u w:val="single"/>
        </w:rPr>
        <w:t>Legends</w:t>
      </w:r>
      <w:r>
        <w:rPr>
          <w:rFonts w:ascii="Times New Roman;Times;Serif" w:hAnsi="Times New Roman;Times;Serif"/>
          <w:b w:val="false"/>
          <w:i w:val="false"/>
          <w:caps w:val="false"/>
          <w:smallCaps w:val="false"/>
          <w:sz w:val="20"/>
        </w:rPr>
        <w:t xml:space="preserve">. Parent shall be entitled to place appropriate legends, including the legend set forth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below, on the book entries and/or certificates evidencing any Consideration Shares issued in connection with the Merger to equity holders of the Company who may be considered “affiliates” of Parent for purposes of Rules 144 and 145 under the Securities Act reflecting the restrictions set forth in Rules 144 and 145 and to issue appropriate stop transfer instructions to the transfer agent for Parent Class A Ordinary Shares and Parent Class B Ordinary Shares,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i w:val="false"/>
          <w:caps w:val="false"/>
          <w:smallCaps w:val="false"/>
          <w:sz w:val="20"/>
          <w:u w:val="single"/>
        </w:rPr>
        <w:t>Private Placement</w:t>
      </w:r>
      <w:r>
        <w:rPr>
          <w:rFonts w:ascii="Times New Roman;Times;Serif" w:hAnsi="Times New Roman;Times;Serif"/>
          <w:b w:val="false"/>
          <w:i w:val="false"/>
          <w:caps w:val="false"/>
          <w:smallCaps w:val="false"/>
          <w:sz w:val="20"/>
        </w:rPr>
        <w:t>. Parent shall take all reasonably necessary action on its part such that the issuance of any Consideration Shares pursuant to this Agreement constitutes a transaction exempt from registration under the Securities Act in compliance with Rule 506 of Regulation D promulgated thereunder. Each certificate or book-entry notation representing Parent Class A Ordinary Shares or Parent Class B Ordinary Shares comprising Consideration Shares shall, until such time that such shares are not so restricted under the Securities Act, bear a legend identical or similar in effect to the following legend (together with any other legend or legends required by applicable state securities applicable Law or otherwise, if any): “THE SHARES EVIDENCED HEREBY HAVE NOT BEEN REGISTERED UNDER THE SECURITIES ACT OF 1933 (THE “ACT”) AND MAY NOT BE OFFERED, SOLD OR OTHERWISE TRANSFERRED, ASSIGNED, PLEDGED OR HYPOTHECATED UNLESS REGISTERED UNDER THE ACT OR UNLESS AN EXEMPTION FROM THE REGISTRATION REQUIREMENTS OF THE ACT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It is understood and agreed that: (a) all fees and expenses incurred or to be incurred by the Company in connection with transactions contemplated by this Agreement and the other Transaction Agreements to which the Company is a party and preparing, negotiating and entering into this Agreement and the performance of its obligations under this Agreement shall be paid by the Company in cash at or prior to the Closing (and shall be Company Transaction Expenses); and (b) all fees and expenses incurred or to be incurred by Parent and/or Merger Sub in connection with the Contemplated Transactions and preparing, negotiating and entering into this Agreement and the performance of its obligations under this Agreement shall be paid in full by Parent in cash at or prior to the Closing (and shall be Parent Transaction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i w:val="false"/>
          <w:caps w:val="false"/>
          <w:smallCaps w:val="false"/>
          <w:sz w:val="20"/>
          <w:u w:val="single"/>
        </w:rPr>
        <w:t>Rule 144 Compliance</w:t>
      </w:r>
      <w:r>
        <w:rPr>
          <w:rFonts w:ascii="Times New Roman;Times;Serif" w:hAnsi="Times New Roman;Times;Serif"/>
          <w:b w:val="false"/>
          <w:i w:val="false"/>
          <w:caps w:val="false"/>
          <w:smallCaps w:val="false"/>
          <w:sz w:val="20"/>
        </w:rPr>
        <w:t xml:space="preserve">. From and after the Closing, Parent shall (a) timely file all reports, schedules, forms, statements, and other documents required to be filed by it under the Exchange Act, (b) maintain adequate current public information with respect to Parent within the meaning of Rule 144(c) under the Securities Act, (c) use commercially reasonable efforts to maintain the listing of the Parent Class A Ordinary Shares on Nasdaq (or another national securities exchange), (d) not take any action that would cause Parent to become a “shell company” as defined in Rule 144(i)(1) under the Securities Act, and (e) take all other actions reasonably necessary to ensure that an exemption from registration under Rule 144 under the Securities Act is available for the resale of the Consideration Shares (including any Parent Class A Ordinary Shares issued upon conversion of Parent Class B Ordinary Shares) by the Company Holders (assuming such holders satisfy the applicable holding period and all other conditions set forth in Rule 144). In addition, if at any time following the six (6) month anniversary of the Closing Date (i) Rule 144 is not available for the resale of the Consideration Shares (including any Parent Class A Ordinary Shares issued upon conversion of Parent Class B Ordinary Shares) (other than due to the applicable holder’s failure to satisfy the holding period or other conditions within such holder’s control) and (ii) there is no effective registration statement under the Securities Act registering, or the prospectus contained therein is not available for, the resale of the Consideration Shares (including any Parent Class A Ordinary Shares issued upon conversion of Parent Class B Ordinary Shares) by the Company Holders, Parent shall, after the expiration of the Lock-Up Period provided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within thirty (30) days following written request by any Company Holder, and subject to the availability of all financial statements of the Company (as the accounting acquirer) then required by the SEC to be included therein, file a registration statement on Form F-3 (or, if Form F-3 is not available, Form F-1) under the Securities Act covering the resale of the Consideration Shares (including any Parent Class A Ordinary Shares issued upon conversion of Parent Class B Ordinary Shares) held by the requesting Company Holder, and shall use its reasonable best efforts to cause such registration statement to become effective as promptly as practicable and to maintain the effectiveness thereof until the earlier of (x) the date on which all Consideration Shares covered thereby have been sold and (y) the date on which all such shares may be sold without restriction under Rule 144. Parent shall bear all registration expenses (excluding underwriting discounts and selling commissions) in connection with any such registration. In the event that Parent fails to comply with the requirements of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Parent shall, in addition to any other remedies available to the Seller Indemnified Parties under this Agreement or applicable Law, use its reasonable best efforts to promptly cure any such failure. Upon the request of any holder of Consideration Shares, Parent shall deliver to such holder a written certification of a duly authorized officer of Parent that Parent has complied with the reporting requirements of Rule 144(c)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i w:val="false"/>
          <w:caps w:val="false"/>
          <w:smallCaps w:val="false"/>
          <w:sz w:val="20"/>
          <w:u w:val="single"/>
        </w:rPr>
        <w:t>Registration Statement Cooperation</w:t>
      </w:r>
      <w:r>
        <w:rPr>
          <w:rFonts w:ascii="Times New Roman;Times;Serif" w:hAnsi="Times New Roman;Times;Serif"/>
          <w:b w:val="false"/>
          <w:i w:val="false"/>
          <w:caps w:val="false"/>
          <w:smallCaps w:val="false"/>
          <w:sz w:val="20"/>
        </w:rPr>
        <w:t xml:space="preserve">. With respect to any registration statement under the Securities Act required pursuant to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and any registration statement relating to a registered offering of Parent securities effected concurrently with the Closing, Parent, Merger Sub, and the Company shall cooperate in good faith in the preparation and filing thereof and in responding to any comments of the SEC. The Company shall, as promptly as reasonably practicable, furnish to Parent all information concerning the Company, the Sellers and the Company’s business reasonably required for inclusion in, and shall use commercially reasonable efforts to cause its independent auditors to deliver any consents and comfort reasonably required in connection with, any such registration statement, including the audited and interim financial statements of the Company required by Rule 3-05 of Regulation S-X prepared in accordance with GAAP and the PCAOB standards, together with any pro forma financial information required by Article 11 of Regulation S-X. Each of Parent, Merger Sub, and the Company shall be solely responsible for, and the other Parties hereto shall be entitled to rely upon, the accuracy and completeness of, the information furnished by such Party for inclusion in any such registration statement, and no such Party shall be deemed in breach of this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 xml:space="preserve"> to the extent any delay or deficiency is attributable to such other Party’s failure to furnish information or financial statements required hereunder. Except as otherwise allocated in the PIPE Registration Rights Agreement, Parent shall bear the costs and expenses incurred in connection with the preparation of the information and financial statements furnished by it under this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i w:val="false"/>
          <w:caps w:val="false"/>
          <w:smallCaps w:val="false"/>
          <w:sz w:val="20"/>
          <w:u w:val="single"/>
        </w:rPr>
        <w:t>Lock Up of Consideration Shares</w:t>
      </w:r>
      <w:r>
        <w:rPr>
          <w:rFonts w:ascii="Times New Roman;Times;Serif" w:hAnsi="Times New Roman;Times;Serif"/>
          <w:b w:val="false"/>
          <w:i w:val="false"/>
          <w:caps w:val="false"/>
          <w:smallCaps w:val="false"/>
          <w:sz w:val="20"/>
        </w:rPr>
        <w:t>. Notwithstanding anything to the contrary herein, each Seller agrees that, during the period commencing on the Closing Date and ending on the date that is six (6) months after the Closing Date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xml:space="preserve">”), such Seller shall not, directly or indirectly, sell, offer to sell, contract to sell, pledge, hypothecate, lend, grant any option, right or warrant to purchase, transfer, assign or otherwise dispose of, convert into Parent Class A Ordinary Shares, or enter into any swap, hedge or other arrangement that transfers to any Person, in whole or in part, any of the economic consequences of ownership of, any Consideration Shares (including any Parent Class B Ordinary Shares) issued to such Seller pursuant to this Agreement, whether any such transaction is to be settled by delivery of Parent Class A Ordinary Shares, Parent Class B Ordinary Shares, in cash or otherwise. Any purported transfer or conversion in violation of this provision shall be void ab initio, and Parent shall be entitled to instruct its transfer agent to decline to register any such transfer or conversion and to place appropriate stop-transfer instructions and restrictive legends on the applicable Consideration Shares. For the avoidance of doubt, the Escrow Shares shall be subject to the Lock-Up Period, and any release of Escrow Shares to a Seller pursuant to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shall not release such Escrow Shares from the restrictions set forth in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until expiration of the Lock-Up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val="false"/>
          <w:caps w:val="false"/>
          <w:smallCaps w:val="false"/>
          <w:sz w:val="20"/>
          <w:u w:val="single"/>
        </w:rPr>
        <w:t>Indemnification by the Sellers in Favor of the Parent Indemnified Parties</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each of the Sellers agrees severally and not jointly, to indemnify, defend and hold harmless each of the Parent Indemnified Parties for such Seller’s Pro Rata Share of any and all Losses suffered or incurred by such Parent Indemnified Party arising from or as a result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representation or warranty of the Company or the Sellers contained in this Agreement or any certificate delivered by or on behalf of the Company or the Sellers pursuant to this Agreement as of the date of this Agreement or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breach of any covenant or agreement of the Company or the Sellers contained in this Agreement; provided that, notwithstanding anything to the contrary in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each Seller shall be severally liable under this clause (b) solely for Losses arising out of a breach by such Seller of its own covenants or agreements, and no Seller shall have any liability under this clause (b) for any breach of a covenant or agreement by the other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Liabilities of the Surviving Corporation arising out of or relating to the operation of the business of the Company prior to the Closing that are not disclosed in the Company Disclosure Schedule; provided that any Liability with respect to Taxes shall be governed exclusively by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and shall not constitute a Liability subject to indemnification under this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misclassification of any individual engaged by the Company as an independent contractor rather than an employee prior to the Closing, including any Losses arising from any related claims for unpaid wages, benefits, employment Taxes or penalties;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Fraud by (x) the Company in the making of the representations and warranties of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and/or Merger Sub pursuant to this Agreement as of the date of this Agreement or as of the Closing Date and (y) the Sellers in the making of the representations and warranties of the Sellers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the Sellers to Parent and/or Merger Sub pursuant to this Agreement as of the date of this Agreement or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Legal Proceeding pending or threatened against the Company as of or prior to the Closing that are set forth in Schedule 7.1(f);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Indemnified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val="false"/>
          <w:caps w:val="false"/>
          <w:smallCaps w:val="false"/>
          <w:sz w:val="20"/>
          <w:u w:val="single"/>
        </w:rPr>
        <w:t>Indemnification by Parent in Favor of the Seller Indemnified Parties</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Parent agrees to indemnify, defend and hold harmless each of the Sellers and their respective heirs, successors and assigns (collectively, the “</w:t>
      </w:r>
      <w:r>
        <w:rPr>
          <w:rFonts w:ascii="Times New Roman;Times;Serif" w:hAnsi="Times New Roman;Times;Serif"/>
          <w:b/>
          <w:i w:val="false"/>
          <w:caps w:val="false"/>
          <w:smallCaps w:val="false"/>
          <w:sz w:val="20"/>
        </w:rPr>
        <w:t>Seller Indemnified 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 Indemnified Party</w:t>
      </w:r>
      <w:r>
        <w:rPr>
          <w:rFonts w:ascii="Times New Roman;Times;Serif" w:hAnsi="Times New Roman;Times;Serif"/>
          <w:b w:val="false"/>
          <w:i w:val="false"/>
          <w:caps w:val="false"/>
          <w:smallCaps w:val="false"/>
          <w:sz w:val="20"/>
        </w:rPr>
        <w:t xml:space="preserve">”) for any and all Losses suffered or incurred by any Seller Indemnified Party arising from or as a result of: (i) any inaccuracy in or breach of any representation or warranty of Parent or Merger Sub contained in this Agreement or any certificate delivered by or on behalf of Parent or Merger Sub pursuant to this Agreement as of the date of this Agreement or as of the Closing Date; (ii) any breach by Parent or Merger Sub of any covenant or agreement of Parent or Merger Sub contained in this Agreement; (iii) any Liabilities of Parent or any of its Subsidiaries (other than the Surviving Corporation) arising out of or relating to facts, circumstances or events occurring prior to the Closing, to the extent not disclosed in the Parent Disclosure Schedule prior to the date hereof; or (iv) Fraud by Parent or Merger Sub in the making of the representations and warranties of the Parent and Merger Sub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the Parent and/or Merger Sub to the Company or the Sellers pursuant to this Agreement as of the date of this Agreement or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val="false"/>
          <w:caps w:val="false"/>
          <w:smallCaps w:val="false"/>
          <w:sz w:val="20"/>
          <w:u w:val="single"/>
        </w:rPr>
        <w:t>Limitations on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Indemnity Deductible</w:t>
      </w:r>
      <w:r>
        <w:rPr>
          <w:rFonts w:ascii="Times New Roman;Times;Serif" w:hAnsi="Times New Roman;Times;Serif"/>
          <w:b w:val="false"/>
          <w:i w:val="false"/>
          <w:caps w:val="false"/>
          <w:smallCaps w:val="false"/>
          <w:sz w:val="20"/>
        </w:rPr>
        <w:t>. An Indemnifying Party shall have no liability to any Indemnified Party (A) with respect to any individual claim (or series of related claims arising from the same or substantially similar facts or circumstances) unless the Losses relating thereto exceed $25,000 (the “</w:t>
      </w:r>
      <w:r>
        <w:rPr>
          <w:rFonts w:ascii="Times New Roman;Times;Serif" w:hAnsi="Times New Roman;Times;Serif"/>
          <w:b/>
          <w:i w:val="false"/>
          <w:caps w:val="false"/>
          <w:smallCaps w:val="false"/>
          <w:sz w:val="20"/>
        </w:rPr>
        <w:t>De Minimis Amount</w:t>
      </w:r>
      <w:r>
        <w:rPr>
          <w:rFonts w:ascii="Times New Roman;Times;Serif" w:hAnsi="Times New Roman;Times;Serif"/>
          <w:b w:val="false"/>
          <w:i w:val="false"/>
          <w:caps w:val="false"/>
          <w:smallCaps w:val="false"/>
          <w:sz w:val="20"/>
        </w:rPr>
        <w:t>”), and (B) unless and until the aggregate amount of Losses actually incurred by all of the Indemnified Parties exceeds (excluding any individual claims that do not exceed the De Minimis Amount) $1,000,000 (the “</w:t>
      </w:r>
      <w:r>
        <w:rPr>
          <w:rFonts w:ascii="Times New Roman;Times;Serif" w:hAnsi="Times New Roman;Times;Serif"/>
          <w:b/>
          <w:i w:val="false"/>
          <w:caps w:val="false"/>
          <w:smallCaps w:val="false"/>
          <w:sz w:val="20"/>
        </w:rPr>
        <w:t>Deductible</w:t>
      </w:r>
      <w:r>
        <w:rPr>
          <w:rFonts w:ascii="Times New Roman;Times;Serif" w:hAnsi="Times New Roman;Times;Serif"/>
          <w:b w:val="false"/>
          <w:i w:val="false"/>
          <w:caps w:val="false"/>
          <w:smallCaps w:val="false"/>
          <w:sz w:val="20"/>
        </w:rPr>
        <w:t xml:space="preserve">”), in which event, the right of the Indemnified Parties to be indemnified shall apply only to Losses in excess of the Deductible; provided, that, for the avoidance of doubt, in no event shall the De Minimis Amount or the Deductible apply to the rights of the Indemnified Parties to be indemnified for any and all Losses arising from, or as a result of (i) Fraud in the making of (x) the representations and warranties of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or Merger Sub pursuant to this Agreement as of the date of this Agreement or as of the Closing Date, (y) the representations and warranties of the Sellers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the Sellers to Parent or Merger Sub pursuant to this Agreement as of the date of this Agreement or as of the Closing Date, or (z) the representations of Parent and Merger Sub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Parent or Merger Sub pursuant to this Agreement as of the date of this Agreement or as of the Closing Date, as applicable, or (ii) breach of any Company Fundamental Representations, Sellers Fundamental Representations or Parent Fundamental Representations,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Indemnity Cap</w:t>
      </w:r>
      <w:r>
        <w:rPr>
          <w:rFonts w:ascii="Times New Roman;Times;Serif" w:hAnsi="Times New Roman;Times;Serif"/>
          <w:b w:val="false"/>
          <w:i w:val="false"/>
          <w:caps w:val="false"/>
          <w:smallCaps w:val="false"/>
          <w:sz w:val="20"/>
        </w:rPr>
        <w:t xml:space="preserve">. Except for any claims in respect of (i) Fraud in the making of (x) the representations and warranties of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or Merger Sub pursuant to this Agreement as of the date of this Agreement or as of the Closing Date, (y) the representations and warranties of the Sellers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the Sellers to Parent or Merger Sub pursuant to this Agreement as of the date of this Agreement or as of the Closing Date, or (z) the representations and warranties of Parent or Merger Sub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Parent or Merger Sub pursuant to this Agreement as of the date of this Agreement or as of the Closing Date, or (ii) breach of any Company Fundamental Representations, Sellers Fundamental Representations or Parent Fundamental Representations, (A) the maximum aggregate liability of each Seller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for any and all Losses arising from or as a result of any inaccuracy in or breach of any representation or warranty that is not a Company Fundamental Representation or a Sellers Fundamental Representation shall not exceed such Seller’s Pro Rata Share of $1,999,984.80 (i.e., $999,992.40 per Seller), and (B) the maximum aggregate liability of Parent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for any and all Losses arising from or as a result of any inaccuracy in or breach of any representation or warranty that is not a Parent Fundamental Representation for any and all such Losses shall not exceed $1,999,984.80 (the amounts described in clauses (A) and (B), the “</w:t>
      </w:r>
      <w:r>
        <w:rPr>
          <w:rFonts w:ascii="Times New Roman;Times;Serif" w:hAnsi="Times New Roman;Times;Serif"/>
          <w:b/>
          <w:i w:val="false"/>
          <w:caps w:val="false"/>
          <w:smallCaps w:val="false"/>
          <w:sz w:val="20"/>
        </w:rPr>
        <w:t>General Cap</w:t>
      </w:r>
      <w:r>
        <w:rPr>
          <w:rFonts w:ascii="Times New Roman;Times;Serif" w:hAnsi="Times New Roman;Times;Serif"/>
          <w:b w:val="false"/>
          <w:i w:val="false"/>
          <w:caps w:val="false"/>
          <w:smallCaps w:val="false"/>
          <w:sz w:val="20"/>
        </w:rPr>
        <w:t xml:space="preserve">”); provided, that any recovery by the Parent Indemnified Parties against a Seller in respect of any and all Losses subject to indemnification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(whether subject to the General Cap or the Fundamental Cap, but excluding claims of Fraud) shall first be satisfied from such Seller’s Escrow Shares in accordance with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and only to the extent the value of such Seller’s Escrow Shares is insufficient to satisfy such Losses (or has been exhausted or released) shall the Parent Indemnified Parties be entitled to seek recovery directly from such Seller, subject to such Seller’s General Cap or Fundamental Cap, as applicable. The (C) maximum aggregate liability of each Seller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for any and all Losses, including any Losses arising from or as a result of any breach of any Company Fundamental Representations or Sellers Fundamental Representations (but excluding claims of Fraud described in clause (i) above), shall not exceed such Seller’s Pro Rata Share of $8,000,000 (i.e., $4,000,000 per Seller), and (D) the maximum aggregate liability of Parent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for any and all Losses, including any Losses arising from or as a result of any breach of any Parent Fundamental Representations (but excluding claims of Fraud described in clause (i) above), shall not exceed $8,000,000 (the amounts described in clauses (C) and (D), the “</w:t>
      </w:r>
      <w:r>
        <w:rPr>
          <w:rFonts w:ascii="Times New Roman;Times;Serif" w:hAnsi="Times New Roman;Times;Serif"/>
          <w:b/>
          <w:i w:val="false"/>
          <w:caps w:val="false"/>
          <w:smallCaps w:val="false"/>
          <w:sz w:val="20"/>
        </w:rPr>
        <w:t>Fundamental Cap</w:t>
      </w:r>
      <w:r>
        <w:rPr>
          <w:rFonts w:ascii="Times New Roman;Times;Serif" w:hAnsi="Times New Roman;Times;Serif"/>
          <w:b w:val="false"/>
          <w:i w:val="false"/>
          <w:caps w:val="false"/>
          <w:smallCaps w:val="false"/>
          <w:sz w:val="20"/>
        </w:rPr>
        <w:t>”); in each case, the Fundamental Cap shall be inclusive of, and not in addition to, any amounts recovered under the General Cap in respect of the same Indemnifying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i w:val="false"/>
          <w:caps w:val="false"/>
          <w:smallCaps w:val="false"/>
          <w:sz w:val="20"/>
          <w:u w:val="single"/>
        </w:rPr>
        <w:t>Assertion of Claims; Payment of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claim shall be brought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hereof unless the Indemnified Parties, or any of them, at any time prior to the applicable Survival Date (as defined in </w:t>
      </w:r>
      <w:r>
        <w:rPr>
          <w:rFonts w:ascii="Times New Roman;Times;Serif" w:hAnsi="Times New Roman;Times;Serif"/>
          <w:b w:val="false"/>
          <w:i w:val="false"/>
          <w:caps w:val="false"/>
          <w:smallCaps w:val="false"/>
          <w:sz w:val="20"/>
          <w:u w:val="single"/>
        </w:rPr>
        <w:t>Section 7.6(b)</w:t>
      </w:r>
      <w:r>
        <w:rPr>
          <w:rFonts w:ascii="Times New Roman;Times;Serif" w:hAnsi="Times New Roman;Times;Serif"/>
          <w:b w:val="false"/>
          <w:i w:val="false"/>
          <w:caps w:val="false"/>
          <w:smallCaps w:val="false"/>
          <w:sz w:val="20"/>
        </w:rPr>
        <w:t xml:space="preserve">), give the Indemnifying Party (i) written notice of the existence of any such claim, specifying in reasonable detail the nature and basis of such claim and a good faith estimate of the amount thereof, to the extent known, or (ii) written notice pursuant to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of any Third Party Claim (as defined below), the existence of which would give rise to such a claim. Upon the giving of such written notice as aforesaid, the Indemnified Parties, or any of them, shall have the right to commence Legal Proceedings subsequent to the Survival Date for the enforcement of their rights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as applicable, as provided in </w:t>
      </w:r>
      <w:r>
        <w:rPr>
          <w:rFonts w:ascii="Times New Roman;Times;Serif" w:hAnsi="Times New Roman;Times;Serif"/>
          <w:b w:val="false"/>
          <w:i w:val="false"/>
          <w:caps w:val="false"/>
          <w:smallCaps w:val="false"/>
          <w:sz w:val="20"/>
          <w:u w:val="single"/>
        </w:rPr>
        <w:t>Section 7.6(d)</w:t>
      </w:r>
      <w:r>
        <w:rPr>
          <w:rFonts w:ascii="Times New Roman;Times;Serif" w:hAnsi="Times New Roman;Times;Serif"/>
          <w:b w:val="false"/>
          <w:i w:val="false"/>
          <w:caps w:val="false"/>
          <w:smallCaps w:val="false"/>
          <w:sz w:val="20"/>
        </w:rPr>
        <w:t xml:space="preserve">. The Indemnifying Parties’ indemnification obligations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include the obligation to pay and reimburse the Indemnified Parties for all Losses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as applicable, whether or not arising due to Third Party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obligations of an Indemnifying Party to indemnify the Indemnified Parties pursuant to the terms of this Agreement are the primary obligations of the Indemnifying Party subject to the limitations set forth herein. Each Seller hereby waives any right to seek or obtain indemnification from the Surviving Corporation for Losses indemnifiable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indemnification obligation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Section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shall be satisfied solely by cash payment by the applicable Indemnifying Party to the applicable Indemnified Party in immediately available funds promptly following the final determination or resolution of the applicable indemnification claim (whether by mutual written agreement of the Parties, a final and non-appealable order of a court of competent jurisdiction, or an arbitral award pursuant to </w:t>
      </w:r>
      <w:r>
        <w:rPr>
          <w:rFonts w:ascii="Times New Roman;Times;Serif" w:hAnsi="Times New Roman;Times;Serif"/>
          <w:b w:val="false"/>
          <w:i w:val="false"/>
          <w:caps w:val="false"/>
          <w:smallCaps w:val="false"/>
          <w:sz w:val="20"/>
          <w:u w:val="single"/>
        </w:rPr>
        <w:t>Section 12.4(b)</w:t>
      </w:r>
      <w:r>
        <w:rPr>
          <w:rFonts w:ascii="Times New Roman;Times;Serif" w:hAnsi="Times New Roman;Times;Serif"/>
          <w:b w:val="false"/>
          <w:i w:val="false"/>
          <w:caps w:val="false"/>
          <w:smallCaps w:val="false"/>
          <w:sz w:val="20"/>
        </w:rPr>
        <w:t xml:space="preserve">); provided, however, that, notwithstanding the foregoing, in the case of any indemnification obligation of a Seller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such obligation shall first be satisfied from such Seller’s Escrow Shares in accordance with, and subject to the terms and conditions of,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and only to the extent such Seller’s Escrow Shares are insufficient to satisfy, or have been exhausted or released from, such obligation shall such Seller be required to satisfy the remaining amount thereof by cash payment in immediately available funds. For the avoidance of doubt, Parent shall have no right to satisfy any indemnification obligation under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through the delivery of Parent Ordinary Shares or any non-cash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Indemnified Parties’ right to indemnification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against the Indemnifying Parties on account of any Losses shall be reduced by all insurance or other proceeds actually received by such Indemnified Party from third parties to the extent such proceeds directly relate to such Losses (net of any deductibles and other costs and expenses actually paid by such Indemnified Party to collect any such proceeds or increase to premiums that result from the facts or circumstances that gave rise to the applicable Losses (collectively, “</w:t>
      </w:r>
      <w:r>
        <w:rPr>
          <w:rFonts w:ascii="Times New Roman;Times;Serif" w:hAnsi="Times New Roman;Times;Serif"/>
          <w:b/>
          <w:i w:val="false"/>
          <w:caps w:val="false"/>
          <w:smallCaps w:val="false"/>
          <w:sz w:val="20"/>
        </w:rPr>
        <w:t>Collection Costs</w:t>
      </w:r>
      <w:r>
        <w:rPr>
          <w:rFonts w:ascii="Times New Roman;Times;Serif" w:hAnsi="Times New Roman;Times;Serif"/>
          <w:b w:val="false"/>
          <w:i w:val="false"/>
          <w:caps w:val="false"/>
          <w:smallCaps w:val="false"/>
          <w:sz w:val="20"/>
        </w:rPr>
        <w:t xml:space="preserve">”)); provided, that the potential to receive such insurance or other proceeds shall not preclude a claim or recovery hereunder. If any Indemnified Party or any of its Affiliates actually receives any insurance or other proceeds from third parties after receiving an indemnification payment for the related Loss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such proceeds were not deducted from such Loss in determining the amount of the indemnity payment made by the Indemnifying Parties for such Loss, then such Indemnified Party shall pay to the Indemnifying Parties the amount of such proceeds, net of Collection Costs.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i w:val="false"/>
          <w:caps w:val="false"/>
          <w:smallCaps w:val="false"/>
          <w:sz w:val="20"/>
          <w:u w:val="single"/>
        </w:rPr>
        <w:t>Notice and Defense of Third Party Claims</w:t>
      </w:r>
      <w:r>
        <w:rPr>
          <w:rFonts w:ascii="Times New Roman;Times;Serif" w:hAnsi="Times New Roman;Times;Serif"/>
          <w:b w:val="false"/>
          <w:i w:val="false"/>
          <w:caps w:val="false"/>
          <w:smallCaps w:val="false"/>
          <w:sz w:val="20"/>
        </w:rPr>
        <w:t xml:space="preserve">. The Liabilities of the Indemnifying Parties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with respect to Losses resulting from the assertion of Liability by third parties (each,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shall be subject to the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Indemnified Parties shall give prompt written notice (but in any event within thirty (30) days of becoming aware (or such shorter period of time as may be required by a Governmental Body, applicable Law, or an order)) of any Third Party Claim which might give rise to any Losses by the Indemnified Parties, stating the nature and basis of such Third Party Claim, and the amount thereof to the extent known; provided, however, that no delay on the part of the Indemnified Parties in notifying the Indemnifying Parties shall relieve the Indemnifying Parties from any Liability hereunder, unless (and then solely to the extent) such Indemnifying Parties are materially prejudiced in any manner by such delay. Such notice shall be accompanied by copies of all relevant documentation with respect to such Third Party Claim, including any summons, complaint or other pleading which may have been served, any written demand or any other document or instrument directly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within thirty (30) days of receiving written notice of a Third Party Claim (or such shorter period of time as may be required by a Governmental Body, applicable Law, or an order), the Indemnifying Parties acknowledge, in a writing delivered to the Indemnified Parties, that the Indemnifying Parties are obligated to indemnify, defend and hold harmless the Indemnified Parties under the terms of their indemnification obligations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in connection with such Third Party Claim, then the Indemnifying Parties shall have the right to assume the defense of such Third Party Claim at their own expense and by their own counsel; provided, however, that the Indemnifying Parties shall not have the right to assume the defense of such Third Party Claim, notwithstanding the giving of such written acknowledgment, if (i) such Third Party Claim seeks only an injunction or other equitable relief, (ii) the Indemnifying Parties do not have the financial wherewithal to pay for such defense or the Losses, (iii) such Legal Proceeding involves any matter beyond the scope of the indemnification obligations of the Indemnifying Parties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(iv) the Indemnifying Parties shall not have assumed the defense of such Third Party Claim in the time required per this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or (v) the claim, based on the remedy being sought, could result in criminal Liability to an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Indemnifying Parties timely elect to assume the defense of any such Third Party Claim pursuant to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then the Indemnifying Parties shall keep the Indemnified Party informed on the progress of the defense of such Third Party Claim, and the Indemnified Party may participate in such defense at the expense of such Indemnified Party. If the Indemnifying Parties fail to defend a Third Party Claim, the Indemnified Party shall have the right to undertake the defense or settlement thereof, at the applicable Indemnifying Parties’ expense, subject to the limitations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Indemnifying Parties exercise their right to assume the defense of a Third Party Claim, then they shall not make any settlement with respect to such Third Party Claim without the prior written consent of the applicable Indemnified Party if such settlement (A) involves any finding or admission of any violation of applicable Law by an Indemnified Party, (B) does not cause each Indemnified Party that is party to such Third Party Claim to be unconditionally released from all Liability with respect to such claim, (C) imposes equitable remedies on the Indemnified Party, or (D) results in any monetary Liability in excess of the applicable cap set forth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or that is not paid in full by the Indemnifying Parties. If the Indemnified Party is in control of the defense of any Third Party Claim, such Indemnified Party shall not make any settlement with respect to such Third Party Claim without the prior written consent of the Indemnifying Parties, which consent shall not be unreasonably withheld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Company Fundamental Representations, the Sellers Fundamental Representations and the Parent Fundamental Representations shall survive the Closing until the fifth (5th) anniversary of the Closing Date; (ii) the representations and warranties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Tax Representations</w:t>
      </w:r>
      <w:r>
        <w:rPr>
          <w:rFonts w:ascii="Times New Roman;Times;Serif" w:hAnsi="Times New Roman;Times;Serif"/>
          <w:b w:val="false"/>
          <w:i w:val="false"/>
          <w:caps w:val="false"/>
          <w:smallCaps w:val="false"/>
          <w:sz w:val="20"/>
        </w:rPr>
        <w:t>”) shall survive the Closing until thirty (30) calendar days following the expiration of the applicable statute of limitations with respect thereto; and (iii) the representations and warranties of the Company, the Sellers, Parent and Merger Sub set forth in this Agreement (other than the Company Fundamental Representations, the Sellers Fundamental Representations, the Parent Fundamental Representations and the Tax Representations) shall survive the Closing until twelve (12) months following the Closing Date ((i), (ii) and (iii), each and collectively, the “</w:t>
      </w:r>
      <w:r>
        <w:rPr>
          <w:rFonts w:ascii="Times New Roman;Times;Serif" w:hAnsi="Times New Roman;Times;Serif"/>
          <w:b/>
          <w:i w:val="false"/>
          <w:caps w:val="false"/>
          <w:smallCaps w:val="false"/>
          <w:sz w:val="20"/>
        </w:rPr>
        <w:t>Survival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Covenants and agreements set forth in this Agreement that by their terms are to be performed following the Closing shall survive the Closing until fully performed.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Party or any of its respective Affiliates shall have any Liability with respect to any representation or warranty from and after the time that such representation or warranty ceases to survive hereunder; provided that the foregoing shall not limit (i) any claim for breach of a covenant that is to be performed following the Closing, (ii) any indemnification obligation expressly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(subject to the applicable survival periods and limitations set forth herein), or (iii) any claim of Fraud in the making of (x) the representations and warranties of the Company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in any certificate delivered by the Company to Parent or Merger Sub pursuant to this Agreement as of the date of this Agreement or as of the Closing Date, (y) the representations and warranties of the Sellers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in any certificate delivered by the Sellers to Parent or Merger Sub pursuant to this Agreement as of the date of this Agreement or as of the Closing Date, or (z) the representations of Parent and Merger Sub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in any certificate delivered by Parent or Merger Sub pursuant to this Agreement as of the date of this Agreement or as of the Closing Date,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claim for indemnification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which is delivered to the applicable Indemnifying Party prior to the expiration of the applicable survival period set forth in </w:t>
      </w:r>
      <w:r>
        <w:rPr>
          <w:rFonts w:ascii="Times New Roman;Times;Serif" w:hAnsi="Times New Roman;Times;Serif"/>
          <w:b w:val="false"/>
          <w:i w:val="false"/>
          <w:caps w:val="false"/>
          <w:smallCaps w:val="false"/>
          <w:sz w:val="20"/>
          <w:u w:val="single"/>
        </w:rPr>
        <w:t>Section 7.6(a)</w:t>
      </w:r>
      <w:r>
        <w:rPr>
          <w:rFonts w:ascii="Times New Roman;Times;Serif" w:hAnsi="Times New Roman;Times;Serif"/>
          <w:b w:val="false"/>
          <w:i w:val="false"/>
          <w:caps w:val="false"/>
          <w:smallCaps w:val="false"/>
          <w:sz w:val="20"/>
        </w:rPr>
        <w:t>, and the rights of indemnity or claims with respect thereto, shall survive such expiration until resolved or judicially determined.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expressly set forth in this Agreement, the Indemnified Parties acknowledge and agree that they will not have any other entitlement, remedy or recourse (whether at law or in equity, or whether in Contract, tort, statute or otherwise) against the Indemnifying Parties or any of their respective Affiliates relating to the subject matter of this Agreement, and each Indemnified Party hereby expressly waives any such entitlement, remedy or recourse to the fullest extent permitted by Law; provided, however, that nothing in this </w:t>
      </w:r>
      <w:r>
        <w:rPr>
          <w:rFonts w:ascii="Times New Roman;Times;Serif" w:hAnsi="Times New Roman;Times;Serif"/>
          <w:b w:val="false"/>
          <w:i w:val="false"/>
          <w:caps w:val="false"/>
          <w:smallCaps w:val="false"/>
          <w:sz w:val="20"/>
          <w:u w:val="single"/>
        </w:rPr>
        <w:t>Section 7.6(e)</w:t>
      </w:r>
      <w:r>
        <w:rPr>
          <w:rFonts w:ascii="Times New Roman;Times;Serif" w:hAnsi="Times New Roman;Times;Serif"/>
          <w:b w:val="false"/>
          <w:i w:val="false"/>
          <w:caps w:val="false"/>
          <w:smallCaps w:val="false"/>
          <w:sz w:val="20"/>
        </w:rPr>
        <w:t xml:space="preserve"> shall limit (i) any Party’s right to seek specific performance or injunctive relief pursuant to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 xml:space="preserve"> or (ii) any claim of Fraud, and each Indemnified Party hereby expressly reserves all such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i w:val="false"/>
          <w:caps w:val="false"/>
          <w:smallCaps w:val="false"/>
          <w:sz w:val="20"/>
          <w:u w:val="single"/>
        </w:rPr>
        <w:t>Indemnification Escrow.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withhold from the Company Aggregate Share Consideration otherwise deliverable to the Sellers an aggregate of 110,192 Parent Class A Ordinary Shares (collectively, the “</w:t>
      </w:r>
      <w:r>
        <w:rPr>
          <w:rFonts w:ascii="Times New Roman;Times;Serif" w:hAnsi="Times New Roman;Times;Serif"/>
          <w:b/>
          <w:i w:val="false"/>
          <w:caps w:val="false"/>
          <w:smallCaps w:val="false"/>
          <w:sz w:val="20"/>
        </w:rPr>
        <w:t>Escrow Shares</w:t>
      </w:r>
      <w:r>
        <w:rPr>
          <w:rFonts w:ascii="Times New Roman;Times;Serif" w:hAnsi="Times New Roman;Times;Serif"/>
          <w:b w:val="false"/>
          <w:i w:val="false"/>
          <w:caps w:val="false"/>
          <w:smallCaps w:val="false"/>
          <w:sz w:val="20"/>
        </w:rPr>
        <w:t>”), allocated between the Sellers pro rata based on the number of shares of Company Common Stock held by each Seller immediately prior to the Effective Time, as set forth in the Allocation Certificate and shall deposit, or cause to be deposited, the Escrow Shares on behalf of the Sellers with an escrow agent mutually agreed upon by Parent and the Sellers (the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pursuant to an escrow agreement in form and substance reasonably acceptable to Parent and the Sellers and Escrow Agent (the “</w:t>
      </w:r>
      <w:r>
        <w:rPr>
          <w:rFonts w:ascii="Times New Roman;Times;Serif" w:hAnsi="Times New Roman;Times;Serif"/>
          <w:b/>
          <w:i w:val="false"/>
          <w:caps w:val="false"/>
          <w:smallCaps w:val="false"/>
          <w:sz w:val="20"/>
        </w:rPr>
        <w:t>Escrow Agreement</w:t>
      </w:r>
      <w:r>
        <w:rPr>
          <w:rFonts w:ascii="Times New Roman;Times;Serif" w:hAnsi="Times New Roman;Times;Serif"/>
          <w:b w:val="false"/>
          <w:i w:val="false"/>
          <w:caps w:val="false"/>
          <w:smallCaps w:val="false"/>
          <w:sz w:val="20"/>
        </w:rPr>
        <w:t xml:space="preserve">”). The Escrow Shares shall be valued at the Per Share Purchase Price (US$18.15 per share) for purposes of satisfying indemnification claims, representing an aggregate escrow value of approximately US$1,999,984.80 (US$999,992.40 per Seller). Because the Sellers’ indemnification obligations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are several and not joint, each Seller’s 55,096 Escrow Shares shall be held separately by the Escrow Agent and shall be available only to satisfy the several indemnification obligations of that Seller (and not the other Seller)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subject to the terms and conditions of this Section and the Escrow Agreement. For the avoidance of doubt, the Escrow Shares constitute a portion of the Company Aggregate Share Consideration and shall not be issued in addition to the Company Aggregate Share Consideration. The deposit of the Escrow Shares with the Escrow Agent on behalf of the Sellers shall be deemed to constitute payment and delivery of the Escrow Shares to the Sellers for purposes of this Agreement, subject in all respects to the terms of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and the Escrow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Escrow Shares shall be held by the Escrow Agent for a period of twelve (12) months following the Closing Date (the “</w:t>
      </w:r>
      <w:r>
        <w:rPr>
          <w:rFonts w:ascii="Times New Roman;Times;Serif" w:hAnsi="Times New Roman;Times;Serif"/>
          <w:b/>
          <w:i w:val="false"/>
          <w:caps w:val="false"/>
          <w:smallCaps w:val="false"/>
          <w:sz w:val="20"/>
        </w:rPr>
        <w:t>Escrow Period</w:t>
      </w:r>
      <w:r>
        <w:rPr>
          <w:rFonts w:ascii="Times New Roman;Times;Serif" w:hAnsi="Times New Roman;Times;Serif"/>
          <w:b w:val="false"/>
          <w:i w:val="false"/>
          <w:caps w:val="false"/>
          <w:smallCaps w:val="false"/>
          <w:sz w:val="20"/>
        </w:rPr>
        <w:t xml:space="preserve">”). Upon the expiration of the Escrow Period, the Escrow Agent shall promptly release to each Seller all of that Seller’s own Escrow Shares then remaining in escrow, less any of that Seller’s Escrow Shares that are subject to then-pending but unresolved indemnification claims against that Seller for which written notice has been delivered to the Escrow Agent and such Seller prior to the expiration of the Escrow Period in accordance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Any of a Seller’s Escrow Shares retained on account of pending claims against the Seller shall be released promptly upon the final resolution of such claims, net of any of that Seller’s Escrow Shares applied in satisfaction thereof. For the avoidance of doubt, no Seller’s Escrow Shares shall be applied in satisfaction of any indemnification claim against the other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lieu of satisfying its own several indemnification obligation through the forfeiture of Escrow Shares, the applicable Seller shall have the option, exercisable by written notice to Parent and the Escrow Agent within sixty (60) days following the final adjudication or resolution of an indemnification claim against such Seller, to satisfy such indemnification obligation in cash in an amount equal to such Seller’s several share of the Losses determined to be payable, in which case the corresponding Escrow Shares of such Seller shall be released to such Seller promptly upon receipt by the Escrow Agent of such cash payment in immediately available funds. If the applicable Seller does not timely exercise such cash election, the applicable number of that Seller’s Escrow Shares (valued at the Per Share Purchase Price) shall be released from escrow to the applicable Parent Indemnified Party in satisfaction of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Escrow Period, the Sellers shall retain all voting rights and shall be entitled to receive all dividends and other distributions declared and paid with respect to the Escrow Shares; provided, that any such dividends or distributions shall be held by the Escrow Agent and shall be subject to the same restrictions and release provisions as the Escrow Shares to which they relate.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Seller’s Escrow Shares shall serve as security for, but shall not limit, that Seller’s own several indemnification obligations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(including obligations arising from breach of any Company Fundamental Representations or Sellers Fundamental Representations, but excluding claims of Fraud), subject to the limitations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For any and all claims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against a particular Seller, the Parent Indemnified Parties shall seek recovery first from that Seller’s own Escrow Shares, and may seek indemnification from that Seller directly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only for that Seller’s several share of Losses in excess of the value of that Seller’s Escrow Shares (or to the extent that Seller’s Escrow Shares have been exhausted or released), subject to the limitations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and the existence of the escrow shall not be construed as limiting either Seller’s several indemnification obligations under this Agreement, nor shall any Seller’s Escrow Shares be applied to satisfy the other Seller’s indemnification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i w:val="false"/>
          <w:caps w:val="false"/>
          <w:smallCaps w:val="false"/>
          <w:sz w:val="20"/>
          <w:u w:val="single"/>
        </w:rPr>
        <w:t>Tax Treatment of Indemnification Payments</w:t>
      </w:r>
      <w:r>
        <w:rPr>
          <w:rFonts w:ascii="Times New Roman;Times;Serif" w:hAnsi="Times New Roman;Times;Serif"/>
          <w:b w:val="false"/>
          <w:i w:val="false"/>
          <w:caps w:val="false"/>
          <w:smallCaps w:val="false"/>
          <w:sz w:val="20"/>
        </w:rPr>
        <w:t>. All indemnification payments made under this Agreement shall be treated by the Parties as an adjustment to the Merger Consideration for Tax purposes, unless otherwise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CONDITIONS PRECEDENT TO OBLIGATIONS OF EACH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Date,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u w:val="single"/>
        </w:rPr>
        <w:t>Parent Shareholder Matters</w:t>
      </w:r>
      <w:r>
        <w:rPr>
          <w:rFonts w:ascii="Times New Roman;Times;Serif" w:hAnsi="Times New Roman;Times;Serif"/>
          <w:b w:val="false"/>
          <w:i w:val="false"/>
          <w:caps w:val="false"/>
          <w:smallCaps w:val="false"/>
          <w:sz w:val="20"/>
        </w:rPr>
        <w:t>. The Required Parent Shareholder Approvals and the Required Parent Class B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u w:val="single"/>
        </w:rPr>
        <w:t>No Restraints</w:t>
      </w:r>
      <w:r>
        <w:rPr>
          <w:rFonts w:ascii="Times New Roman;Times;Serif" w:hAnsi="Times New Roman;Times;Serif"/>
          <w:b w:val="false"/>
          <w:i w:val="false"/>
          <w:caps w:val="false"/>
          <w:smallCaps w:val="false"/>
          <w:sz w:val="20"/>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u w:val="single"/>
        </w:rPr>
        <w:t>Nasdaq Listing</w:t>
      </w:r>
      <w:r>
        <w:rPr>
          <w:rFonts w:ascii="Times New Roman;Times;Serif" w:hAnsi="Times New Roman;Times;Serif"/>
          <w:b w:val="false"/>
          <w:i w:val="false"/>
          <w:caps w:val="false"/>
          <w:smallCaps w:val="false"/>
          <w:sz w:val="20"/>
        </w:rPr>
        <w:t xml:space="preserve">. (a) Parent shall have filed with Nasdaq the LAS Notice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not received any objections from Nasdaq to the Contemplated Transactions, (b) Parent shall have filed the Nasdaq Listing Application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the Nasdaq Listing Application shall have been approved by Nasdaq (subject to official notice of issuance at the Closing), (c) Nasdaq shall have approved the Contemplated Transactions, and (d) Parent shall have maintained its existing listing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u w:val="single"/>
        </w:rPr>
        <w:t>PIPE Investment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PIPE Share Purchase Agreement shall be in full force and effect as of the Closing with respect to PIPE Investors whose aggregate committed purchase price under the PIPE Share Purchase Agreement equals or exceeds the PIPE Minimum Amount, after giving effect to any permitted assignees admitted as PIPE Investors in accordance with the terms of the PIPE Share Purchase Agreement, and all conditions to the consummation of the PIPE Investment (except for the consummation of the Merger and those conditions that by their nature are to be satisfied at the closing of the PIPE Investment) with respect to such PIPE Investors shall have been satisfied or waived pursuant to the PIPE Share Purchase Agreement. For the avoidance of doubt, the failure of any PIPE Investor to fund or the termination of any PIPE Investor’s commitment prior to the Closing shall not cause this condition to be deemed unsatisfied so long as the aggregate committed purchase price of the PIPE Investors party to the PIPE Share Purchase Agreement as of the Closing equals or exceeds the PIPE Minimum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ADDITIONAL CONDITIONS PRECEDENT TO OBLIGATIONS OF PARENT AND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and Merger Sub to effect the Merger and otherwise consummate the transactions contemplated hereby to be consummated at the Closing are subject to the satisfaction or the written waiver by Parent,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u w:val="single"/>
        </w:rPr>
        <w:t>Accuracy of Representations</w:t>
      </w:r>
      <w:r>
        <w:rPr>
          <w:rFonts w:ascii="Times New Roman;Times;Serif" w:hAnsi="Times New Roman;Times;Serif"/>
          <w:b w:val="false"/>
          <w:i w:val="false"/>
          <w:caps w:val="false"/>
          <w:smallCaps w:val="false"/>
          <w:sz w:val="20"/>
        </w:rPr>
        <w:t>. The Company Fundamental Representations and the Sellers Fundamental Representations shall have been true and correct in all respects as of the date of this Agreement and shall be true and correct in all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except, in each case, for such inaccuracies representing less than 0.50% of the Company Outstanding Shares in the aggregate. Other than the Company Fundamental Representations, the Sellers Fundamental Representations and the Company Capitalization Representations, the representations and warranties of the Company and the Sellers contained in this Agreement (without giving effect to any references therein to Company Material Adverse Effect or other materiality qualifications) shall have been true and correct as of the date of this Agreement and shall be true and correct on and as of the Closing Date with the same force and effect as if made on the Closing Date (except to the extent such representations and warranties are specifically made as of a particular date, in which case such representations and warranties shall be true and correct as of such date) except, in each case, individually or in the aggregate, where the failure to be true and correct would not reasonably be expected to have a Company Material Adverse Effect (it being understood that, for purposes of determining the accuracy of such representations and warranties, any update of or modification to the Company Disclosure Schedule made or purported to have been made after the date of this Agreement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u w:val="single"/>
        </w:rPr>
        <w:t>Performance of Covenants</w:t>
      </w:r>
      <w:r>
        <w:rPr>
          <w:rFonts w:ascii="Times New Roman;Times;Serif" w:hAnsi="Times New Roman;Times;Serif"/>
          <w:b w:val="false"/>
          <w:i w:val="false"/>
          <w:caps w:val="false"/>
          <w:smallCaps w:val="false"/>
          <w:sz w:val="20"/>
        </w:rPr>
        <w:t>. Each of the Company and the Sellers shall have performed or complied with in all material respects all agreements and covenants required to be performed or complied with by it under this Agreement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u w:val="single"/>
        </w:rPr>
        <w:t>Documents</w:t>
      </w:r>
      <w:r>
        <w:rPr>
          <w:rFonts w:ascii="Times New Roman;Times;Serif" w:hAnsi="Times New Roman;Times;Serif"/>
          <w:b w:val="false"/>
          <w:i w:val="false"/>
          <w:caps w:val="false"/>
          <w:smallCaps w:val="false"/>
          <w:sz w:val="20"/>
        </w:rPr>
        <w:t>. The following documents shall have been delivered to Parent, each of which shall be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by the Chief Executive Officer or Chief Financial Officer of the Company certifying that the conditions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written resignation, in a form reasonably satisfactory to Parent, dated as of the Closing Date and effective as of the Effective Time, executed by each of the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Allocation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provided, that the Parent’s sole remedy for the Company’s failure to deliver such documentation shall be to withhold pursuant to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counterparts to the PIPE Share Purchase Agreement, duly executed and delivered by each PIPE Investor concurrently with the execution of this Agreement, and, with respect to any permitted assignees admitted as PIPE Investors in accordance with the terms of the PIPE Share Purchase Agreement, duly executed and delivered at or prior to the Closing, and the Company shall deliver evidence thereof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counterparts to the PIPE Registration Rights Agreement, duly executed and delivered by the PIPE Investors whose aggregate committed purchase price equals or exceeds the PIPE Minimum Amount, including any permitted assignees admitted as PIPE Investors in accordance with the terms of the PIPE Share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Escrow Agreement, duly executed by Parent, each Seller, and the Escrow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counterparts to each of the Option and Exchange Agreements, duly executed and delivered by each Option Holder and the Company concurrently with the execution of this Agreement, and the Company shall deliver to Parent evidence thereof;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counterparts to each of the Surrender and Termination of SAFE Agreements, duly executed and delivered by each SAFE Investor and the Company, and the Company shall deliver to Parent evidence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u w:val="single"/>
        </w:rPr>
        <w:t>Termination of Certain Agreements</w:t>
      </w:r>
      <w:r>
        <w:rPr>
          <w:rFonts w:ascii="Times New Roman;Times;Serif" w:hAnsi="Times New Roman;Times;Serif"/>
          <w:b w:val="false"/>
          <w:i w:val="false"/>
          <w:caps w:val="false"/>
          <w:smallCaps w:val="false"/>
          <w:sz w:val="20"/>
        </w:rPr>
        <w:t>. Each of the following agreements shall have been terminated without any liability being imposed on the part of Parent or the Surviving Corporation and the Company shall have provided evidence of such termination: (i) the Investor Agreements; and (ii) the Common Stock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i w:val="false"/>
          <w:caps w:val="false"/>
          <w:smallCaps w:val="false"/>
          <w:sz w:val="20"/>
          <w:u w:val="single"/>
        </w:rPr>
        <w:t>SAFE Satisfaction</w:t>
      </w:r>
      <w:r>
        <w:rPr>
          <w:rFonts w:ascii="Times New Roman;Times;Serif" w:hAnsi="Times New Roman;Times;Serif"/>
          <w:b w:val="false"/>
          <w:i w:val="false"/>
          <w:caps w:val="false"/>
          <w:smallCaps w:val="false"/>
          <w:sz w:val="20"/>
        </w:rPr>
        <w:t>. The SAFE Satisfaction shall have been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ADDITIONAL CONDITIONS PRECEDENT TO OBLIGATIONS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to effect the Merger and otherwise consummate the transactions contemplated hereby to be consummated at the Closing are subject to the satisfaction or the written waiver by the Company,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The Parent Fundamental Representations shall have been true and correct in all respects as of the date of this Agreement and shall be true and correct in all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except, in each case, (x) for such inaccuracies representing less than 0.50% of the Parent Outstanding Shares in the aggregate or (y) for such inaccuracies resulting from (A) grants or issuances expressly permitted by this Agreement or made with the prior consent of the Company (which such consent may be withheld in the Company’s sole discretion) or (B) the vesting, exercise, termination or expiration of the Parent RSUs, Parent Options or any warrants described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xml:space="preserve"> of the Parent Disclosure Schedule. Other than the Parent Fundamental Representations and the Parent Capitalization Representations, the representations and warranties of Parent and Merger Sub contained in this Agreement (without giving effect to any references therein to any Parent Material Adverse Effect or other materiality qualifications) shall have been true and correct as of the date of this Agreement and shall be true and correct on and as of the Closing Date with the same force and effect as if made on the Closing Date (except to the extent such representations and warranties are specifically made as of a particular date, in which case such representations and warranties shall be true and correct as of such date) except, in each case, individually or in the aggregate, where the failure to be true and correct would not reasonably be expected to have a Parent Material Adverse Effect (it being understood that, for purposes of determining the accuracy of such representations and warranties, any update of or modification to the Parent Disclosure Schedule made or purported to have been made after the date of this Agreement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u w:val="single"/>
        </w:rPr>
        <w:t>Performance of Covenants</w:t>
      </w:r>
      <w:r>
        <w:rPr>
          <w:rFonts w:ascii="Times New Roman;Times;Serif" w:hAnsi="Times New Roman;Times;Serif"/>
          <w:b w:val="false"/>
          <w:i w:val="false"/>
          <w:caps w:val="false"/>
          <w:smallCaps w:val="false"/>
          <w:sz w:val="20"/>
        </w:rPr>
        <w:t>. Each of Parent and Merger Sub shall have performed or complied with in all material respects all agreements and covenants required to be performed or complied with by it under this Agreement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i w:val="false"/>
          <w:caps w:val="false"/>
          <w:smallCaps w:val="false"/>
          <w:sz w:val="20"/>
          <w:u w:val="single"/>
        </w:rPr>
        <w:t>Documents</w:t>
      </w:r>
      <w:r>
        <w:rPr>
          <w:rFonts w:ascii="Times New Roman;Times;Serif" w:hAnsi="Times New Roman;Times;Serif"/>
          <w:b w:val="false"/>
          <w:i w:val="false"/>
          <w:caps w:val="false"/>
          <w:smallCaps w:val="false"/>
          <w:sz w:val="20"/>
        </w:rPr>
        <w:t>. The following documents shall have been delivered to the Company, each of which shall be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Outstanding Shares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by the Chief Executive Officer or Chief Financial Officer of Parent certifying (i) that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have been duly satisfied and (ii) that the information set forth in the Parent Outstanding Shares Certificate delivered by Parent in accordance with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xml:space="preserve"> is true and accurate in all respects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opinion of Cayman Islands legal counsel for Parent in form and substance reasonably acceptable to the Company and the Sellers;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written resignation, in a form reasonably satisfactory to the Company and the Sellers, dated as of the Closing Date and effective as of the Closing, executed by each of the officers and directors of Parent and its Subsidiaries who are not to continue as officers or directors, as the case may be, of Parent immediately upon the Effective Time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including, for the avoidance of doubt, Jianwei Li;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evidence, in form and substance reasonably satisfactory to the Company and the Sellers, that the employment agreement between Jianwei Li and Parent dated as of January 1, 2026 (“</w:t>
      </w:r>
      <w:r>
        <w:rPr>
          <w:rFonts w:ascii="Times New Roman;Times;Serif" w:hAnsi="Times New Roman;Times;Serif"/>
          <w:b/>
          <w:i w:val="false"/>
          <w:caps w:val="false"/>
          <w:smallCaps w:val="false"/>
          <w:sz w:val="20"/>
        </w:rPr>
        <w:t>Li Employment Agreement</w:t>
      </w:r>
      <w:r>
        <w:rPr>
          <w:rFonts w:ascii="Times New Roman;Times;Serif" w:hAnsi="Times New Roman;Times;Serif"/>
          <w:b w:val="false"/>
          <w:i w:val="false"/>
          <w:caps w:val="false"/>
          <w:smallCaps w:val="false"/>
          <w:sz w:val="20"/>
        </w:rPr>
        <w:t>”) has been terminated and all severance and other amounts due and payable to Jianwei Li under the Li Employment Agreement have been paid in full or irrevocably provided for prior to or concurrently with the Closing, and Jianwei Li shall have executed and delivered a release of claims in favor of Parent and the Company in connection with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certified copies of the resolutions duly adopted by the Parent Board and in full force and effect as of the Closing authorizing, among other things, the appointment of the officers of Parent as set forth in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appointment of the directors set forth in Director Designation Notice, and the issuance of the Consideration Shares upon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counterparts to the Indemnification Agreements duly executed by the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counterparts to the PIPE Share Purchase Agreement duly executed and delivered by Parent concurrently with the execution of this Agreement, and Parent shall deliver to the Company evidence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counterparts to the PIPE Registration Rights Agreement duly executed by the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Li Consulting Agreement, duly executed by Parent and Jianwei Li, in form and substance consistent with the requirements of </w:t>
      </w:r>
      <w:r>
        <w:rPr>
          <w:rFonts w:ascii="Times New Roman;Times;Serif" w:hAnsi="Times New Roman;Times;Serif"/>
          <w:b w:val="false"/>
          <w:i w:val="false"/>
          <w:caps w:val="false"/>
          <w:smallCaps w:val="false"/>
          <w:sz w:val="20"/>
          <w:u w:val="single"/>
        </w:rPr>
        <w:t>Section 6.6(f)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support agreement duly executed and delivered by Energy Science Artist Holding Limited, a British Virgin Islands business company (“</w:t>
      </w:r>
      <w:r>
        <w:rPr>
          <w:rFonts w:ascii="Times New Roman;Times;Serif" w:hAnsi="Times New Roman;Times;Serif"/>
          <w:b/>
          <w:i w:val="false"/>
          <w:caps w:val="false"/>
          <w:smallCaps w:val="false"/>
          <w:sz w:val="20"/>
        </w:rPr>
        <w:t>Energy Science</w:t>
      </w:r>
      <w:r>
        <w:rPr>
          <w:rFonts w:ascii="Times New Roman;Times;Serif" w:hAnsi="Times New Roman;Times;Serif"/>
          <w:b w:val="false"/>
          <w:i w:val="false"/>
          <w:caps w:val="false"/>
          <w:smallCaps w:val="false"/>
          <w:sz w:val="20"/>
        </w:rPr>
        <w:t xml:space="preserve">”), and Parent in the form set forth in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concurrently with the execution of this Agreement (the “</w:t>
      </w:r>
      <w:r>
        <w:rPr>
          <w:rFonts w:ascii="Times New Roman;Times;Serif" w:hAnsi="Times New Roman;Times;Serif"/>
          <w:b/>
          <w:i w:val="false"/>
          <w:caps w:val="false"/>
          <w:smallCaps w:val="false"/>
          <w:sz w:val="20"/>
        </w:rPr>
        <w:t>Support Agreement</w:t>
      </w:r>
      <w:r>
        <w:rPr>
          <w:rFonts w:ascii="Times New Roman;Times;Serif" w:hAnsi="Times New Roman;Times;Serif"/>
          <w:b w:val="false"/>
          <w:i w:val="false"/>
          <w:caps w:val="false"/>
          <w:smallCaps w:val="false"/>
          <w:sz w:val="20"/>
        </w:rPr>
        <w:t>”), and Parent shall deliver to the Company evidence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Registration Rights Agreement duly executed and delivered by Energy Science and Parent in the form set forth in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Energy Science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of the Option and Exchange Agreements duly executed and delivered by Parent concurrently with the execution of this Agreement and Parent shall deliver to the Company evidence thereof;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draft of the updated register of members of Parent recording each Seller as the registered holder of their respective Parent Class B Ordinary Shares, effective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Surviving Charter and the Surviving Bylaws, each duly adopted and in full force and effect as of the Effective Time, certified by the Secretary of State of the State of Delaware or an authorized officer of the Surviving Corporation,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unanimous written consent of the board of directors of Merger Sub (i) authorizing, approving, adopting and declaring the advisability of the Surviving Charter and the filing thereof with the Secretary of State of the State of Delaware immediately following the Effective Time and (ii) approving and adopting the amended and restated bylaws of Merger Sub to be effective at the Effective Time in accordance with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Board Consent to A&amp;R Charter</w:t>
      </w:r>
      <w:r>
        <w:rPr>
          <w:rFonts w:ascii="Times New Roman;Times;Serif" w:hAnsi="Times New Roman;Times;Serif"/>
          <w:b w:val="false"/>
          <w:i w:val="false"/>
          <w:caps w:val="false"/>
          <w:smallCaps w:val="false"/>
          <w:sz w:val="20"/>
        </w:rPr>
        <w:t>”), duly executed by the sole director of Merger Sub;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written consent of Parent, as the sole stockholder of Merger Sub, authorizing, approving and adopting the Surviving Charter pursuant to Section 228 of the DGCL (the “</w:t>
      </w:r>
      <w:r>
        <w:rPr>
          <w:rFonts w:ascii="Times New Roman;Times;Serif" w:hAnsi="Times New Roman;Times;Serif"/>
          <w:b/>
          <w:i w:val="false"/>
          <w:caps w:val="false"/>
          <w:smallCaps w:val="false"/>
          <w:sz w:val="20"/>
        </w:rPr>
        <w:t>Stockholder Consent to A&amp;R Charter</w:t>
      </w:r>
      <w:r>
        <w:rPr>
          <w:rFonts w:ascii="Times New Roman;Times;Serif" w:hAnsi="Times New Roman;Times;Serif"/>
          <w:b w:val="false"/>
          <w:i w:val="false"/>
          <w:caps w:val="false"/>
          <w:smallCaps w:val="false"/>
          <w:sz w:val="20"/>
        </w:rPr>
        <w:t>”), duly executed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val="false"/>
          <w:caps w:val="false"/>
          <w:smallCaps w:val="false"/>
          <w:sz w:val="20"/>
          <w:u w:val="single"/>
        </w:rPr>
        <w:t>No Parent Material Adverse Effect</w:t>
      </w:r>
      <w:r>
        <w:rPr>
          <w:rFonts w:ascii="Times New Roman;Times;Serif" w:hAnsi="Times New Roman;Times;Serif"/>
          <w:b w:val="false"/>
          <w:i w:val="false"/>
          <w:caps w:val="false"/>
          <w:smallCaps w:val="false"/>
          <w:sz w:val="20"/>
        </w:rPr>
        <w:t>. Since the date of this Agreement, there shall not have occurred any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val="false"/>
          <w:caps w:val="false"/>
          <w:smallCaps w:val="false"/>
          <w:sz w:val="20"/>
          <w:u w:val="single"/>
        </w:rPr>
        <w:t>Minimum Cash</w:t>
      </w:r>
      <w:r>
        <w:rPr>
          <w:rFonts w:ascii="Times New Roman;Times;Serif" w:hAnsi="Times New Roman;Times;Serif"/>
          <w:b w:val="false"/>
          <w:i w:val="false"/>
          <w:caps w:val="false"/>
          <w:smallCaps w:val="false"/>
          <w:sz w:val="20"/>
        </w:rPr>
        <w:t>. As of the close of business on the Business Day immediately preceding the Closing Date, Parent shall have net cash (calculated as unrestricted cash and cash equivalents of Parent and its Subsidiaries, less all outstanding short- and long-term liabilities, including all accounts payable, accrued expenses and any indebtedness of Parent and its Subsidiaries, as of such date) of not less than $500,000, after giving effect to the payment of all Parent Transaction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i w:val="false"/>
          <w:caps w:val="false"/>
          <w:smallCaps w:val="false"/>
          <w:sz w:val="20"/>
          <w:u w:val="single"/>
        </w:rPr>
        <w:t>Conversion of Class B Ordinary Shares</w:t>
      </w:r>
      <w:r>
        <w:rPr>
          <w:rFonts w:ascii="Times New Roman;Times;Serif" w:hAnsi="Times New Roman;Times;Serif"/>
          <w:b w:val="false"/>
          <w:i w:val="false"/>
          <w:caps w:val="false"/>
          <w:smallCaps w:val="false"/>
          <w:sz w:val="20"/>
        </w:rPr>
        <w:t>. All issued and outstanding Parent Class B Ordinary Shares as of the date immediately prior to Closing shall have been converted into Parent Class A Ordinary Shares in accordance with the terms of the Existing Parent MAA, and no Parent Class B Ordinary Shares shall remain issued and outstanding as of immediately prior to Closing. Parent shall deliver to the Company reasonably satisfactory evidence that such conversion has been completed, including an updated register of members of Parent reflecting the conversion of all Parent Class B Ordinary Shares into Parent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Effective Time (whether before or after all of the Parent Shareholder Matters shall have been duly approved, unless otherwise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if the Merger shall not have been consummated by December 31, 2026 (subject to possible extension as provided in clause (ii) of the proviso of this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provided, however, that (i) the right to terminate this Agreement under this </w:t>
      </w:r>
      <w:r>
        <w:rPr>
          <w:rFonts w:ascii="Times New Roman;Times;Serif" w:hAnsi="Times New Roman;Times;Serif"/>
          <w:b w:val="false"/>
          <w:i w:val="false"/>
          <w:caps w:val="false"/>
          <w:smallCaps w:val="false"/>
          <w:sz w:val="20"/>
          <w:u w:val="single"/>
        </w:rPr>
        <w:t>Section 11.1(b)</w:t>
      </w:r>
      <w:r>
        <w:rPr>
          <w:rFonts w:ascii="Times New Roman;Times;Serif" w:hAnsi="Times New Roman;Times;Serif"/>
          <w:b w:val="false"/>
          <w:i w:val="false"/>
          <w:caps w:val="false"/>
          <w:smallCaps w:val="false"/>
          <w:sz w:val="20"/>
        </w:rPr>
        <w:t xml:space="preserve"> shall not be available to the Company, on the one hand, or to Parent, on the other hand, if such Party’s action or failure to act has been a principal cause of the failure of the Merger to occur on or before the End Date and such action or failure to act constitutes a breach of this Agreement and (ii) in the event that a request for additional information has been made by any Governmental Body, then either the Company or Parent shall be entitled to extend the End Date for an additional ninety (90) days by written notice to the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if a court of competent jurisdiction or other Governmental Body shall have issued a final and nonappealable order, decree or ruling, or shall have taken any other action, having the effect of permanently restraining, enjoining or otherwise prohibiting the Contemplated Transactions; provided, however, that the right to terminate this Agreement under this </w:t>
      </w:r>
      <w:r>
        <w:rPr>
          <w:rFonts w:ascii="Times New Roman;Times;Serif" w:hAnsi="Times New Roman;Times;Serif"/>
          <w:b w:val="false"/>
          <w:i w:val="false"/>
          <w:caps w:val="false"/>
          <w:smallCaps w:val="false"/>
          <w:sz w:val="20"/>
          <w:u w:val="single"/>
        </w:rPr>
        <w:t>Section 11.1(c)</w:t>
      </w:r>
      <w:r>
        <w:rPr>
          <w:rFonts w:ascii="Times New Roman;Times;Serif" w:hAnsi="Times New Roman;Times;Serif"/>
          <w:b w:val="false"/>
          <w:i w:val="false"/>
          <w:caps w:val="false"/>
          <w:smallCaps w:val="false"/>
          <w:sz w:val="20"/>
        </w:rPr>
        <w:t xml:space="preserve"> shall not be available to the Company, on the one hand, or to Parent, on the other hand, if such Party’s action or failure to act has been a principal cause of such order, decree, ruling or other action by the Governmental Body and such action or failure to act constitutes a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Parent or the Company if (i) the Parent Shareholders’ Meeting (including any adjournments and postponements thereof) shall have been held and (ii) the Required Parent Shareholder Approvals and the Required Parent Class B Consent shall not have been obtained; provided, however, that the right to terminate this Agreement under this </w:t>
      </w:r>
      <w:r>
        <w:rPr>
          <w:rFonts w:ascii="Times New Roman;Times;Serif" w:hAnsi="Times New Roman;Times;Serif"/>
          <w:b w:val="false"/>
          <w:i w:val="false"/>
          <w:caps w:val="false"/>
          <w:smallCaps w:val="false"/>
          <w:sz w:val="20"/>
          <w:u w:val="single"/>
        </w:rPr>
        <w:t>Section 11.1(d)</w:t>
      </w:r>
      <w:r>
        <w:rPr>
          <w:rFonts w:ascii="Times New Roman;Times;Serif" w:hAnsi="Times New Roman;Times;Serif"/>
          <w:b w:val="false"/>
          <w:i w:val="false"/>
          <w:caps w:val="false"/>
          <w:smallCaps w:val="false"/>
          <w:sz w:val="20"/>
        </w:rPr>
        <w:t xml:space="preserve"> shall not be available to the Company, on the one hand, or to Parent, on the other hand, if such Party’s action or failure to act has been a principal cause of the failure of the Parent Shareholder Matters to be approved and such action or failure to act constitutes a material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the Company (at any time prior to the approval of the Parent Shareholder Matters) if a Parent Triggering Event shall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provided that none of the Company and the Sellers is then in material breach of any representation, warranty, covenant or agreement under this Agreement; provided, further, that if such inaccuracy in Parent’s or Merger Sub’s representations and warranties or breach by Parent or Merger Sub is curable by the End Date by Parent or Merger Sub, then the Company may not terminate this Agreement pursuant to this </w:t>
      </w:r>
      <w:r>
        <w:rPr>
          <w:rFonts w:ascii="Times New Roman;Times;Serif" w:hAnsi="Times New Roman;Times;Serif"/>
          <w:b w:val="false"/>
          <w:i w:val="false"/>
          <w:caps w:val="false"/>
          <w:smallCaps w:val="false"/>
          <w:sz w:val="20"/>
          <w:u w:val="single"/>
        </w:rPr>
        <w:t>Section 11.1(f)</w:t>
      </w:r>
      <w:r>
        <w:rPr>
          <w:rFonts w:ascii="Times New Roman;Times;Serif" w:hAnsi="Times New Roman;Times;Serif"/>
          <w:b w:val="false"/>
          <w:i w:val="false"/>
          <w:caps w:val="false"/>
          <w:smallCaps w:val="false"/>
          <w:sz w:val="20"/>
        </w:rPr>
        <w:t xml:space="preserve"> as a result of such particular breach or inaccuracy until the expiration of a 30-day period commencing upon delivery of written notice from the Company to Parent of such breach or inaccuracy and of the Company’s intention to terminate pursuant to this </w:t>
      </w:r>
      <w:r>
        <w:rPr>
          <w:rFonts w:ascii="Times New Roman;Times;Serif" w:hAnsi="Times New Roman;Times;Serif"/>
          <w:b w:val="false"/>
          <w:i w:val="false"/>
          <w:caps w:val="false"/>
          <w:smallCaps w:val="false"/>
          <w:sz w:val="20"/>
          <w:u w:val="single"/>
        </w:rPr>
        <w:t>Section 11.1(f)</w:t>
      </w:r>
      <w:r>
        <w:rPr>
          <w:rFonts w:ascii="Times New Roman;Times;Serif" w:hAnsi="Times New Roman;Times;Serif"/>
          <w:b w:val="false"/>
          <w:i w:val="false"/>
          <w:caps w:val="false"/>
          <w:smallCaps w:val="false"/>
          <w:sz w:val="20"/>
        </w:rPr>
        <w:t xml:space="preserve"> (it being understood that this Agreement shall not terminate pursuant to this </w:t>
      </w:r>
      <w:r>
        <w:rPr>
          <w:rFonts w:ascii="Times New Roman;Times;Serif" w:hAnsi="Times New Roman;Times;Serif"/>
          <w:b w:val="false"/>
          <w:i w:val="false"/>
          <w:caps w:val="false"/>
          <w:smallCaps w:val="false"/>
          <w:sz w:val="20"/>
          <w:u w:val="single"/>
        </w:rPr>
        <w:t>Section 11.1(f)</w:t>
      </w:r>
      <w:r>
        <w:rPr>
          <w:rFonts w:ascii="Times New Roman;Times;Serif" w:hAnsi="Times New Roman;Times;Serif"/>
          <w:b w:val="false"/>
          <w:i w:val="false"/>
          <w:caps w:val="false"/>
          <w:smallCaps w:val="false"/>
          <w:sz w:val="20"/>
        </w:rPr>
        <w:t xml:space="preserve"> as a result of such particular breach or inaccuracy if such breach by Parent or Merger Sub is cured prior to such termination becoming effective);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upon a breach of any representation, warranty, covenant or agreement set forth in this Agreement by the Company or the Sellers or if any representation or warranty of the Company or the Sellers shall have become inaccurate, in either case, such that the conditions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provided that neither Parent nor Merger Sub is then in material breach of any representation, warranty, covenant or agreement under this Agreement; provided, further, that if such inaccuracy in the representations and warranties of the Company or the Sellers or breach by the Company or the Sellers is curable by the End Date by the Company or the Sellers, then Parent may not terminate this Agreement pursuant to this </w:t>
      </w:r>
      <w:r>
        <w:rPr>
          <w:rFonts w:ascii="Times New Roman;Times;Serif" w:hAnsi="Times New Roman;Times;Serif"/>
          <w:b w:val="false"/>
          <w:i w:val="false"/>
          <w:caps w:val="false"/>
          <w:smallCaps w:val="false"/>
          <w:sz w:val="20"/>
          <w:u w:val="single"/>
        </w:rPr>
        <w:t>Section 11.1(g)</w:t>
      </w:r>
      <w:r>
        <w:rPr>
          <w:rFonts w:ascii="Times New Roman;Times;Serif" w:hAnsi="Times New Roman;Times;Serif"/>
          <w:b w:val="false"/>
          <w:i w:val="false"/>
          <w:caps w:val="false"/>
          <w:smallCaps w:val="false"/>
          <w:sz w:val="20"/>
        </w:rPr>
        <w:t xml:space="preserve"> as a result of such particular breach or inaccuracy until the expiration of a 30-day period commencing upon delivery of written notice from Parent to the Company of such breach or inaccuracy and Parent’s intention to terminate pursuant to this </w:t>
      </w:r>
      <w:r>
        <w:rPr>
          <w:rFonts w:ascii="Times New Roman;Times;Serif" w:hAnsi="Times New Roman;Times;Serif"/>
          <w:b w:val="false"/>
          <w:i w:val="false"/>
          <w:caps w:val="false"/>
          <w:smallCaps w:val="false"/>
          <w:sz w:val="20"/>
          <w:u w:val="single"/>
        </w:rPr>
        <w:t>Section 11.1(g)</w:t>
      </w:r>
      <w:r>
        <w:rPr>
          <w:rFonts w:ascii="Times New Roman;Times;Serif" w:hAnsi="Times New Roman;Times;Serif"/>
          <w:b w:val="false"/>
          <w:i w:val="false"/>
          <w:caps w:val="false"/>
          <w:smallCaps w:val="false"/>
          <w:sz w:val="20"/>
        </w:rPr>
        <w:t xml:space="preserve"> (it being understood that this Agreement shall not terminate pursuant to this </w:t>
      </w:r>
      <w:r>
        <w:rPr>
          <w:rFonts w:ascii="Times New Roman;Times;Serif" w:hAnsi="Times New Roman;Times;Serif"/>
          <w:b w:val="false"/>
          <w:i w:val="false"/>
          <w:caps w:val="false"/>
          <w:smallCaps w:val="false"/>
          <w:sz w:val="20"/>
          <w:u w:val="single"/>
        </w:rPr>
        <w:t>Section 11.1(g)</w:t>
      </w:r>
      <w:r>
        <w:rPr>
          <w:rFonts w:ascii="Times New Roman;Times;Serif" w:hAnsi="Times New Roman;Times;Serif"/>
          <w:b w:val="false"/>
          <w:i w:val="false"/>
          <w:caps w:val="false"/>
          <w:smallCaps w:val="false"/>
          <w:sz w:val="20"/>
        </w:rPr>
        <w:t xml:space="preserve"> as a result of such particular breach or inaccuracy if such breach by the Company or the Sellers is cured prior to such termination becoming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this Agreement shall be of no further force or effect; provided, however, that (a)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the definitions of the defined terms in such Sections shall survive the termination of this Agreement and shall remain in full force and effect, and (b) the termination of this Agreement shall not relieve any Party of any liability for any Fraud or willful breach of any covenant, obligation or other provision contained in this Agreement prior to the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MISCELLANEOUS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with the approval of Parent and the respective boards of directors of the Company and Merger Sub at any time; provided, however, that any amendment made subsequent to the adoption of the agreement by the stockholders of the Company or Merger Sub shall not (a) alter or change the amount or kind of shares, securities, cash, property and/or rights to be received in exchange for or on conversion of all or any of the shares of any class or series thereof of the Company or Merger Sub, (b) alter or change any term of the certificate of incorporation of the Surviving Corporation to be effected by the Merger, or (c) alter or change any of the terms and conditions of this Agreement if such alteration or change would adversely affect the holders of any class or series thereof of the Company or Merger Sub. This Agreement may not be amended except by an instrument in writing signed on behalf of each of the Surviving Corporation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i w:val="false"/>
          <w:caps w:val="false"/>
          <w:smallCaps w:val="false"/>
          <w:sz w:val="20"/>
          <w:u w:val="single"/>
        </w:rPr>
        <w:t>Entire Agreement; Counterparts; Exchanges by Electronic Transmission</w:t>
      </w:r>
      <w:r>
        <w:rPr>
          <w:rFonts w:ascii="Times New Roman;Times;Serif" w:hAnsi="Times New Roman;Times;Serif"/>
          <w:b w:val="false"/>
          <w:i w:val="false"/>
          <w:caps w:val="false"/>
          <w:smallCaps w:val="false"/>
          <w:sz w:val="20"/>
        </w:rPr>
        <w:t>. This Agreement and the other Transaction Agreements (including all Exhibits and Schedules attached hereto or delivered in connection herewith)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i w:val="false"/>
          <w:caps w:val="false"/>
          <w:smallCaps w:val="false"/>
          <w:sz w:val="20"/>
          <w:u w:val="single"/>
        </w:rPr>
        <w:t>Applicable Law; Jurisdiction; Arbitration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regardless of the Laws that might otherwise govern under applicable principles of conflicts of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claim, controversy, or dispute arising out of or relating to this Agreement or any of the transactions contemplated hereby shall be submitted to arbitration in New York City, New York before a single arbitrator of the American Arbitration Association’s International Centre for Disputes Resolution (“</w:t>
      </w:r>
      <w:r>
        <w:rPr>
          <w:rFonts w:ascii="Times New Roman;Times;Serif" w:hAnsi="Times New Roman;Times;Serif"/>
          <w:b/>
          <w:i w:val="false"/>
          <w:caps w:val="false"/>
          <w:smallCaps w:val="false"/>
          <w:sz w:val="20"/>
        </w:rPr>
        <w:t>ICDR</w:t>
      </w:r>
      <w:r>
        <w:rPr>
          <w:rFonts w:ascii="Times New Roman;Times;Serif" w:hAnsi="Times New Roman;Times;Serif"/>
          <w:b w:val="false"/>
          <w:i w:val="false"/>
          <w:caps w:val="false"/>
          <w:smallCaps w:val="false"/>
          <w:sz w:val="20"/>
        </w:rPr>
        <w:t>”) in accordance with its International Arbitration Rules. Such arbitrator shall be mutually agreed upon by the Parties and to have expertise in Delaware corporate law; in the event that the Parties do not mutually agree to an arbitrator within forty-five (45) days of commencement of the arbitration, the Parties agree that the ICDR shall appoint the sole arbitrator using the ICDR list method. The language of the arbitration shall be English. If multiple arbitrations arise under this Agreement and any other agreement arising out of or related to the transactions contemplated in this Agreement, the subject matters of which are related by common questions of law and fact and which could result in inconsistent awards, then the arbitrations may be consolidated into a single arbitration upon request of a party; provided that consolidation would not result in undue delay or prejudice to the party affected by consolidation. The arbitrator shall fix and allocate the costs of the arbitration in its award. The award of the arbitrator shall be final and binding, and judgment upon the award may be entered in any federal court of the United States of America sitting in the State of Delaware, or, if no federal court of the United States of America sitting in the State of Delaware has jurisdiction over such matter, any other court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further agree, however, that any action solely seeking injunctive relief, specific performance or other equitable remedies pursuant to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 xml:space="preserve"> or otherwise shall be brought exclusively in the Court of Chancery of the State of Delaware (or, if the Court of Chancery of the State of Delaware declines to accept jurisdiction over a particular matter, any federal court of the United States of America sitting in the State of Delaware, or, if no federal court of the United States of America sitting in the State of Delaware has jurisdiction over such matter, any other court of the State of Delaware). Each Party hereby irrevocably submits to the exclusive jurisdiction of such courts solely for purposes of any such action for enforcement of an arbitral award obtained pursuant to </w:t>
      </w:r>
      <w:r>
        <w:rPr>
          <w:rFonts w:ascii="Times New Roman;Times;Serif" w:hAnsi="Times New Roman;Times;Serif"/>
          <w:b w:val="false"/>
          <w:i w:val="false"/>
          <w:caps w:val="false"/>
          <w:smallCaps w:val="false"/>
          <w:sz w:val="20"/>
          <w:u w:val="single"/>
        </w:rPr>
        <w:t>Section 12.4(b)</w:t>
      </w:r>
      <w:r>
        <w:rPr>
          <w:rFonts w:ascii="Times New Roman;Times;Serif" w:hAnsi="Times New Roman;Times;Serif"/>
          <w:b w:val="false"/>
          <w:i w:val="false"/>
          <w:caps w:val="false"/>
          <w:smallCaps w:val="false"/>
          <w:sz w:val="20"/>
        </w:rPr>
        <w:t>, injunctive relief, specific performance or other equitable remedies, and each Party hereby irrevocably waives, and agrees not to assert, by way of motion, as a defense, counterclaim or otherwise, in any such action: (i) any claim that it is not personally subject to the jurisdiction of the above-named courts for any reason; (ii) any claim that it or its property is exempt or immune from jurisdiction of any such court or from any legal process commenced in such courts; and (iii) any claim that any such action brought in any of the above-named courts has been brought in an inconvenient forum.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i w:val="false"/>
          <w:caps w:val="false"/>
          <w:smallCaps w:val="false"/>
          <w:sz w:val="20"/>
          <w:u w:val="single"/>
        </w:rPr>
        <w:t>Assignability</w:t>
      </w:r>
      <w:r>
        <w:rPr>
          <w:rFonts w:ascii="Times New Roman;Times;Serif" w:hAnsi="Times New Roman;Times;Serif"/>
          <w:b w:val="false"/>
          <w:i w:val="false"/>
          <w:caps w:val="false"/>
          <w:smallCaps w:val="false"/>
          <w:sz w:val="20"/>
        </w:rPr>
        <w: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266A South Bridge Road, #02-01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058815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Jianwei Li</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and Sellers: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Canopy Wave Inc.</w:t>
      </w:r>
    </w:p>
    <w:p>
      <w:pPr>
        <w:pStyle w:val="TextBody"/>
        <w:bidi w:val="0"/>
        <w:spacing w:before="0" w:after="0"/>
        <w:ind w:left="144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2350 Mission College Boulevard, Suite 350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Taoyue (Tao) Zhang</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Liao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K&amp;L Gates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SW Columbia St, Suite 1900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Portland, OR 97204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Shiau Yen Chin-Dennis and Brendan McDonnell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and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12.7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Each Party agrees to use its reasonable best efforts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negotiate in good faith to amend or replace such invalid or unenforceable term or provision with a valid and enforceable term or provision that comes closest to expressing the intention and achieving the economic, business and other purposes of such invalid or unenforceable term or provision. If the Parties are unable to agree upon such amendment or replacement within thirty (30) days following such final judgment,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 </w:t>
      </w:r>
      <w:r>
        <w:rPr>
          <w:rFonts w:ascii="Times New Roman;Times;Serif" w:hAnsi="Times New Roman;Times;Serif"/>
          <w:b/>
          <w:i w:val="false"/>
          <w:caps w:val="false"/>
          <w:smallCaps w:val="false"/>
          <w:sz w:val="20"/>
          <w:u w:val="single"/>
        </w:rPr>
        <w:t>Other Remedies; 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would be both incalculable and inadequate as a remedy would occur in the event that any Party does not perform the provisions of this Agreement (including failing to take such actions as are required of it under this Agreement to consummate the transactions contemplated by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12.10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the D&amp;O Indemnified Parties to the extent of their respective rights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the Indemnified Parties to the extent of their respective rights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any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References to “cash,” “dollars” or “$” are to U.S.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this Agreement, the words “include” and “including,” and variations thereof, shall not be deemed to be terms of limitation, but rather shall be deemed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indicated, all references in this Agreement to “Sections,” “Exhibits” and “Schedules” are intended to refer to Sections of this Agreement and Exhibits and Schedules to this Agreement,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reference to legislation or to any provision of any legislation shall include any modification, amendment, re-enactment thereof, any legislative provision substituted therefor and all rules, regulations, and statutory instruments issued or related to such legislation.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“delivered”, “provided” or “made available” means, with respect to any documentation, that (i) (A) a copy of such material has been posted to and made available by a Party to the other Party or its Representatives in the electronic data room maintained by such disclosing Party or (B)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Whenever the last day for the exercise of any privilege or the discharge of any duty hereunder shall fall upon a date that is not a Business Day, the Party having such privilege or duty may exercise such privilege or discharge such duty on the next succeeding day which is a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4680" w:right="0" w:hanging="0"/>
        <w:jc w:val="both"/>
        <w:rPr>
          <w:caps w:val="false"/>
          <w:smallCaps w:val="false"/>
        </w:rPr>
      </w:pPr>
      <w:r>
        <w:rPr>
          <w:caps w:val="false"/>
          <w:smallCaps w:val="false"/>
        </w:rPr>
        <w:t> </w:t>
      </w:r>
    </w:p>
    <w:tbl>
      <w:tblPr>
        <w:tblW w:w="3529" w:type="dxa"/>
        <w:jc w:val="left"/>
        <w:tblInd w:w="0" w:type="dxa"/>
        <w:tblLayout w:type="fixed"/>
        <w:tblCellMar>
          <w:top w:w="0" w:type="dxa"/>
          <w:left w:w="0" w:type="dxa"/>
          <w:bottom w:w="0" w:type="dxa"/>
          <w:right w:w="0" w:type="dxa"/>
        </w:tblCellMar>
      </w:tblPr>
      <w:tblGrid>
        <w:gridCol w:w="75"/>
        <w:gridCol w:w="1222"/>
        <w:gridCol w:w="2232"/>
      </w:tblGrid>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b/>
              </w:rPr>
            </w:pPr>
            <w:r>
              <w:rPr>
                <w:b/>
              </w:rPr>
              <w:t>SAIHEAT LIMITED</w:t>
            </w:r>
          </w:p>
        </w:tc>
      </w:tr>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By:</w:t>
            </w:r>
          </w:p>
        </w:tc>
        <w:tc>
          <w:tcPr>
            <w:tcW w:w="2232" w:type="dxa"/>
            <w:tcBorders>
              <w:bottom w:val="single" w:sz="12" w:space="0" w:color="000000"/>
            </w:tcBorders>
            <w:tcMar>
              <w:bottom w:w="28" w:type="dxa"/>
            </w:tcMar>
            <w:vAlign w:val="center"/>
          </w:tcPr>
          <w:p>
            <w:pPr>
              <w:pStyle w:val="TableContents"/>
              <w:bidi w:val="0"/>
              <w:spacing w:before="0" w:after="283"/>
              <w:jc w:val="left"/>
              <w:rPr/>
            </w:pPr>
            <w:r>
              <w:rPr/>
              <w:t>/s/ Jianwei Li</w:t>
            </w:r>
          </w:p>
        </w:tc>
      </w:tr>
      <w:tr>
        <w:trPr/>
        <w:tc>
          <w:tcPr>
            <w:tcW w:w="75"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Name: </w:t>
            </w:r>
          </w:p>
        </w:tc>
        <w:tc>
          <w:tcPr>
            <w:tcW w:w="2232" w:type="dxa"/>
            <w:tcBorders/>
            <w:vAlign w:val="center"/>
          </w:tcPr>
          <w:p>
            <w:pPr>
              <w:pStyle w:val="TableContents"/>
              <w:bidi w:val="0"/>
              <w:spacing w:before="0" w:after="283"/>
              <w:jc w:val="left"/>
              <w:rPr/>
            </w:pPr>
            <w:r>
              <w:rPr/>
              <w:t>Jianwei Li</w:t>
            </w:r>
          </w:p>
        </w:tc>
      </w:tr>
      <w:tr>
        <w:trPr/>
        <w:tc>
          <w:tcPr>
            <w:tcW w:w="75"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Title:</w:t>
            </w:r>
          </w:p>
        </w:tc>
        <w:tc>
          <w:tcPr>
            <w:tcW w:w="2232"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b/>
              </w:rPr>
            </w:pPr>
            <w:r>
              <w:rPr>
                <w:b/>
              </w:rPr>
              <w:t>SAIHEAT MERGER SUB, INC.</w:t>
            </w:r>
          </w:p>
        </w:tc>
      </w:tr>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By:</w:t>
            </w:r>
          </w:p>
        </w:tc>
        <w:tc>
          <w:tcPr>
            <w:tcW w:w="2232" w:type="dxa"/>
            <w:tcBorders>
              <w:bottom w:val="single" w:sz="12" w:space="0" w:color="000000"/>
            </w:tcBorders>
            <w:tcMar>
              <w:bottom w:w="28" w:type="dxa"/>
            </w:tcMar>
            <w:vAlign w:val="center"/>
          </w:tcPr>
          <w:p>
            <w:pPr>
              <w:pStyle w:val="TableContents"/>
              <w:bidi w:val="0"/>
              <w:spacing w:before="0" w:after="283"/>
              <w:jc w:val="left"/>
              <w:rPr/>
            </w:pPr>
            <w:r>
              <w:rPr/>
              <w:t>/s/ Jianwei Li</w:t>
            </w:r>
          </w:p>
        </w:tc>
      </w:tr>
      <w:tr>
        <w:trPr/>
        <w:tc>
          <w:tcPr>
            <w:tcW w:w="75"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Name:</w:t>
            </w:r>
          </w:p>
        </w:tc>
        <w:tc>
          <w:tcPr>
            <w:tcW w:w="2232" w:type="dxa"/>
            <w:tcBorders/>
            <w:vAlign w:val="center"/>
          </w:tcPr>
          <w:p>
            <w:pPr>
              <w:pStyle w:val="TableContents"/>
              <w:bidi w:val="0"/>
              <w:spacing w:before="0" w:after="283"/>
              <w:jc w:val="left"/>
              <w:rPr/>
            </w:pPr>
            <w:r>
              <w:rPr/>
              <w:t>Jianwei Li</w:t>
            </w:r>
          </w:p>
        </w:tc>
      </w:tr>
      <w:tr>
        <w:trPr/>
        <w:tc>
          <w:tcPr>
            <w:tcW w:w="75"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Title:</w:t>
            </w:r>
          </w:p>
        </w:tc>
        <w:tc>
          <w:tcPr>
            <w:tcW w:w="2232" w:type="dxa"/>
            <w:tcBorders/>
            <w:vAlign w:val="center"/>
          </w:tcPr>
          <w:p>
            <w:pPr>
              <w:pStyle w:val="TableContents"/>
              <w:bidi w:val="0"/>
              <w:spacing w:before="0" w:after="283"/>
              <w:jc w:val="left"/>
              <w:rPr/>
            </w:pPr>
            <w:r>
              <w:rPr/>
              <w:t>Director</w:t>
            </w:r>
          </w:p>
        </w:tc>
      </w:tr>
    </w:tbl>
    <w:p>
      <w:pPr>
        <w:pStyle w:val="TextBody"/>
        <w:bidi w:val="0"/>
        <w:spacing w:before="0" w:after="0"/>
        <w:ind w:left="46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Merger Agreement]</w:t>
      </w:r>
    </w:p>
    <w:p>
      <w:pPr>
        <w:pStyle w:val="TextBody"/>
        <w:bidi w:val="0"/>
        <w:spacing w:before="0" w:after="0"/>
        <w:ind w:left="4680" w:right="0" w:hanging="0"/>
        <w:jc w:val="both"/>
        <w:rPr>
          <w:caps w:val="false"/>
          <w:smallCaps w:val="false"/>
        </w:rPr>
      </w:pPr>
      <w:r>
        <w:rPr>
          <w:caps w:val="false"/>
          <w:smallCaps w:val="false"/>
        </w:rPr>
        <w:t> </w:t>
      </w:r>
    </w:p>
    <w:p>
      <w:pPr>
        <w:pStyle w:val="TextBody"/>
        <w:bidi w:val="0"/>
        <w:spacing w:before="0" w:after="0"/>
        <w:ind w:left="468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CANOPY WAVE INC.</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Taoyue (Tao) Zhang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Taoyue (Tao) Zhang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Sellers</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bottom w:val="single" w:sz="12" w:space="0" w:color="000000"/>
            </w:tcBorders>
            <w:tcMar>
              <w:bottom w:w="28" w:type="dxa"/>
            </w:tcMar>
            <w:vAlign w:val="center"/>
          </w:tcPr>
          <w:p>
            <w:pPr>
              <w:pStyle w:val="TableContents"/>
              <w:bidi w:val="0"/>
              <w:spacing w:before="0" w:after="283"/>
              <w:jc w:val="left"/>
              <w:rPr/>
            </w:pPr>
            <w:r>
              <w:rPr/>
              <w:t>/s/ Taoyue (Tao) Zhang</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Taoyue (Tao) Zhang</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bottom w:val="single" w:sz="12" w:space="0" w:color="000000"/>
            </w:tcBorders>
            <w:tcMar>
              <w:bottom w:w="28" w:type="dxa"/>
            </w:tcMar>
            <w:vAlign w:val="center"/>
          </w:tcPr>
          <w:p>
            <w:pPr>
              <w:pStyle w:val="TableContents"/>
              <w:bidi w:val="0"/>
              <w:spacing w:before="0" w:after="283"/>
              <w:jc w:val="left"/>
              <w:rPr/>
            </w:pPr>
            <w:r>
              <w:rPr/>
              <w:t>/s/ Chunyi (James) Liao</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Chunyi (James) Liao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br/>
        <w:b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(including this </w:t>
      </w: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Inquiry</w:t>
      </w:r>
      <w:r>
        <w:rPr>
          <w:rFonts w:ascii="Times New Roman;Times;Serif" w:hAnsi="Times New Roman;Times;Serif"/>
          <w:b w:val="false"/>
          <w:i w:val="false"/>
          <w:caps w:val="false"/>
          <w:smallCaps w:val="false"/>
          <w:sz w:val="20"/>
        </w:rPr>
        <w:t>” means, with respect to a Party, an inquiry, indication of interest or request for information (other than an inquiry, indication of interest or request for information made or submitted by the Company, on the one hand, or Parent, on the other hand, to the other Party) relating to an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involving: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means the Agreement and Plan of Merger to which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attached,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banks in the State of New York, State of Delaware, Cayman Islands and Singapore are authorized or obligated by Law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Public Law No. 116-136, as in effect on the Closing Date and any other applicable Law or presidential memorandum, executive order or executive memo (including the Memorandum on Deferring Payroll Tax Obligations in Light of the Ongoing Covid-19 Disaster, dated August 8, 2020, and IRS Notice 2020-65, 2020-38 IRB), in any U.S. jurisdiction, addressing the consequences of COVID-19 as well as any applicable guidance issued thereunder or relating thereto, including, the Health and Economic Recovery Omnibus Emergency Solutions Act and the Health, Economic Assistance, Liability, and Schools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Purchase Agreements</w:t>
      </w:r>
      <w:r>
        <w:rPr>
          <w:rFonts w:ascii="Times New Roman;Times;Serif" w:hAnsi="Times New Roman;Times;Serif"/>
          <w:b w:val="false"/>
          <w:i w:val="false"/>
          <w:caps w:val="false"/>
          <w:smallCaps w:val="false"/>
          <w:sz w:val="20"/>
        </w:rPr>
        <w:t>” means, collectively, (i) the Common Stock Purchase Agreement, dated as of May 10, 2024, by and between the Company and Tao, and (ii) the Common Stock Purchase Agreement, dated as of May 10, 2024, by and between the Company and James, each in the form as provided to Parent on or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Associate</w:t>
      </w:r>
      <w:r>
        <w:rPr>
          <w:rFonts w:ascii="Times New Roman;Times;Serif" w:hAnsi="Times New Roman;Times;Serif"/>
          <w:b w:val="false"/>
          <w:i w:val="false"/>
          <w:caps w:val="false"/>
          <w:smallCaps w:val="false"/>
          <w:sz w:val="20"/>
        </w:rPr>
        <w:t>” means any current or former employee, independent contractor, officer or director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Capitalization Representations</w:t>
      </w:r>
      <w:r>
        <w:rPr>
          <w:rFonts w:ascii="Times New Roman;Times;Serif" w:hAnsi="Times New Roman;Times;Serif"/>
          <w:b w:val="false"/>
          <w:i w:val="false"/>
          <w:caps w:val="false"/>
          <w:smallCaps w:val="false"/>
          <w:sz w:val="20"/>
        </w:rPr>
        <w:t xml:space="preserve">” means the representations and warranties of the Company and the Sellers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$0.00001 par value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Contract</w:t>
      </w:r>
      <w:r>
        <w:rPr>
          <w:rFonts w:ascii="Times New Roman;Times;Serif" w:hAnsi="Times New Roman;Times;Serif"/>
          <w:b w:val="false"/>
          <w:i w:val="false"/>
          <w:caps w:val="false"/>
          <w:smallCaps w:val="false"/>
          <w:sz w:val="20"/>
        </w:rPr>
        <w:t>” means any Contract: (a) to which the Company or any of its Subsidiaries is a party; (b) by which the Company or any of its Subsidiaries or any Company IP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ERISA Affiliate</w:t>
      </w:r>
      <w:r>
        <w:rPr>
          <w:rFonts w:ascii="Times New Roman;Times;Serif" w:hAnsi="Times New Roman;Times;Serif"/>
          <w:b w:val="false"/>
          <w:i w:val="false"/>
          <w:caps w:val="false"/>
          <w:smallCaps w:val="false"/>
          <w:sz w:val="20"/>
        </w:rPr>
        <w:t>” means any corporation or trade or business (whether or not incorporated) which is (or at any relevant time was) treated with the Company as a single employer within the meaning of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Fundamental Representations</w:t>
      </w:r>
      <w:r>
        <w:rPr>
          <w:rFonts w:ascii="Times New Roman;Times;Serif" w:hAnsi="Times New Roman;Times;Serif"/>
          <w:b w:val="false"/>
          <w:i w:val="false"/>
          <w:caps w:val="false"/>
          <w:smallCaps w:val="false"/>
          <w:sz w:val="20"/>
        </w:rPr>
        <w:t xml:space="preserve">” means the representations and warranties of the Company and the Sellers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(Due Organization; Subsidiaries),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(Authority; Binding Nature of Agreement),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2.4 (Non-Contravention; Consents),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(Capitalization) and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(No Financial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w:t>
      </w:r>
      <w:r>
        <w:rPr>
          <w:rFonts w:ascii="Times New Roman;Times;Serif" w:hAnsi="Times New Roman;Times;Serif"/>
          <w:b w:val="false"/>
          <w:i w:val="false"/>
          <w:caps w:val="false"/>
          <w:smallCaps w:val="false"/>
          <w:sz w:val="20"/>
        </w:rPr>
        <w:t>” means all Intellectual Property Rights that are owned or purported to be owned by, assigned to, or exclusively licensed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provided, however, that Effects arising or resulting from the following shall not be taken into account in determining whether there has been a Company Material Adverse Effect: (a) the announcement or pendency of this Agreement or the Contemplated Transactions, including any impact on the relationships of the Company with its customers, suppliers, distributors, employees, financing sources or other business partners resulting therefrom, (b) the taking of any action, or the failure to take any action, by the Company that is required to comply with the terms of this Agreement or that is taken at the written request or with the prior written consent of Parent, (c) any natural disaster or any act or threat of terrorism or war anywhere in the world, any armed hostilities or terrorist activities anywhere in the world, any threat or escalation of armed hostilities or terrorist activities anywhere in the world or any governmental or other response or reaction to any of the foregoing, (d) any epidemic or pandemic in the United States or any other country or region in the world, or any escalation of the foregoing, or any governmental or other response or reaction thereto, (e) any change in GAAP or applicable Laws or the interpretation or enforcement thereof, (f) general economic, regulatory or political conditions or conditions in the financial, banking, credit or securities markets (including changes in interest rates or exchange rates) or conditions generally affecting the industries in which the Company operates, (g) any change in the cash position of the Company which results from operations in the Ordinary Course of Business, (h) any failure by the Company to meet any internal or published projections, forecasts, estimates or predictions of revenue, earnings or other financial or operating metrics for any period (it being understood that the underlying causes of any such failure may be taken into account in determining whether a Company Material Adverse Effect has occurred to the extent not otherwise excluded by this definition), or (i) seasonal fluctuations in the business of the Company; except in each case with respect to clauses (c), (d), (e), and (f), to the extent such Effects disproportionately affect the Company, taken as a whole, relative to other similarly situated companies in the industries in which the Company operates (in which case only the incremental disproportionate impact shall be taken into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Options</w:t>
      </w:r>
      <w:r>
        <w:rPr>
          <w:rFonts w:ascii="Times New Roman;Times;Serif" w:hAnsi="Times New Roman;Times;Serif"/>
          <w:b w:val="false"/>
          <w:i w:val="false"/>
          <w:caps w:val="false"/>
          <w:smallCaps w:val="false"/>
          <w:sz w:val="20"/>
        </w:rPr>
        <w:t>” means options to purchase shares of Company Common Stock issued by the Company pursuant to the Option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Outstanding Shares</w:t>
      </w:r>
      <w:r>
        <w:rPr>
          <w:rFonts w:ascii="Times New Roman;Times;Serif" w:hAnsi="Times New Roman;Times;Serif"/>
          <w:b w:val="false"/>
          <w:i w:val="false"/>
          <w:caps w:val="false"/>
          <w:smallCaps w:val="false"/>
          <w:sz w:val="20"/>
        </w:rPr>
        <w:t>” means the total number of shares of Company Common Stock outstanding expressed on a fully diluted basis, calculated using the treasury stock method, and assuming, without limitation or duplication, the issuance of shares of Company Common Stock in respect of all Company Options (which, for the avoidance of doubt, shall include unvested Company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Aggregate Share Consideration</w:t>
      </w:r>
      <w:r>
        <w:rPr>
          <w:rFonts w:ascii="Times New Roman;Times;Serif" w:hAnsi="Times New Roman;Times;Serif"/>
          <w:b w:val="false"/>
          <w:i w:val="false"/>
          <w:caps w:val="false"/>
          <w:smallCaps w:val="false"/>
          <w:sz w:val="20"/>
        </w:rPr>
        <w:t>” means 2,624,152 Parent Class A Ordinary Shares and 496,442 Parent Class B Ordinary Shares (aggregating 3,120,594 Parent Ordinary Shares in total).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Per Share Consideration</w:t>
      </w:r>
      <w:r>
        <w:rPr>
          <w:rFonts w:ascii="Times New Roman;Times;Serif" w:hAnsi="Times New Roman;Times;Serif"/>
          <w:b w:val="false"/>
          <w:i w:val="false"/>
          <w:caps w:val="false"/>
          <w:smallCaps w:val="false"/>
          <w:sz w:val="20"/>
        </w:rPr>
        <w:t xml:space="preserve">” means the number of Parent Class A Ordinary Shares and/or Parent Class B Ordinary Shares, as applicable, determined by dividing (a) the Company Aggregate Share Consideration by (b) the number of shares of Company Common Stock issued and outstanding immediately prior to the Effective Time (excluding shares to be canceled pursuant to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Transaction Expenses</w:t>
      </w:r>
      <w:r>
        <w:rPr>
          <w:rFonts w:ascii="Times New Roman;Times;Serif" w:hAnsi="Times New Roman;Times;Serif"/>
          <w:b w:val="false"/>
          <w:i w:val="false"/>
          <w:caps w:val="false"/>
          <w:smallCaps w:val="false"/>
          <w:sz w:val="20"/>
        </w:rPr>
        <w:t>” means, with respect to the Company, the aggregate amount (without duplication) of all costs, fees and expenses incurred by the Company, or for which the Company is or may become liable in connection with the Contemplated Transactions and the negotiation, preparation and execution of the Transaction Agreements, including any fees and expenses of legal counsel, accountants and other advisors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that certain mutual confidential disclosure agreement dated February 24, 2026, entered into between the Company and SAI US Inc., a wholly-owned Subsidiary of Parent, in connection with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means an aggregate of 3,306,269 newly issued and issuable Parent Ordinary Shares, consisting of (a) the Company Aggregate Share Consideration, and (b) the Reserved Option Pool. The number of Consideration Shares has been determined based on (i) the Company’s pre-money valuation of US$60,000,000, (ii) Parent’s pre-money valuation of US$40,000,000, and (iii) the sum of the total outstanding Parent Ordinary Shares as recorded in the register of members maintained by Parent’s secretary or transfer agent, the number of Parent Class A Ordinary Shares reserved for issuance upon exercise of outstanding equity awards granted under the Parent Stock Plan, and the number of Parent Class A Ordinary Shares remaining available for future issuance pursuant to the Parent Stock Plan. Such number of Consideration Shares represent a Per Share Purchase Price of US$18.15 and have been rounded up in the aggregate to the closest whole number. The number of Consideration Shares is fixed and shall not be subject to adjustment based on any change in the valuation or share price of Parent or the Company between the date hereof and the Closing, except as provided in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For the avoidance of doubt, the Parent Class B Ordinary Shares issued as Consideration Shares shall carry the same economic rights (including dividend and liquidation rights) as the Parent Class A Ordinary Shares but shall carry super-voting rights as set forth in the A&amp;R Parent MAA.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Contemplated Transactions</w:t>
      </w:r>
      <w:r>
        <w:rPr>
          <w:rFonts w:ascii="Times New Roman;Times;Serif" w:hAnsi="Times New Roman;Times;Serif"/>
          <w:b w:val="false"/>
          <w:i w:val="false"/>
          <w:caps w:val="false"/>
          <w:smallCaps w:val="false"/>
          <w:sz w:val="20"/>
        </w:rPr>
        <w:t xml:space="preserve">” means the transactions and actions contemplated by this Agreement and the other Transaction Agreements, including, for the avoidance of doubt, the Merger and the actions proposed to be taken at the Parent Shareholders’ Meeting prior to the Closing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DPA</w:t>
      </w:r>
      <w:r>
        <w:rPr>
          <w:rFonts w:ascii="Times New Roman;Times;Serif" w:hAnsi="Times New Roman;Times;Serif"/>
          <w:b w:val="false"/>
          <w:i w:val="false"/>
          <w:caps w:val="false"/>
          <w:smallCaps w:val="false"/>
          <w:sz w:val="20"/>
        </w:rPr>
        <w:t>” means Section 721 of the Defense Production Act of 1950.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means any effect, change, event, circumstance, or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lien, pledge, hypothecation, charge, mortgage, security interest, lease, license, option, easement, reservation, servitude, adverse title, claim, infringement, interference,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means the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Entity</w:t>
      </w:r>
      <w:r>
        <w:rPr>
          <w:rFonts w:ascii="Times New Roman;Times;Serif" w:hAnsi="Times New Roman;Times;Serif"/>
          <w:b w:val="false"/>
          <w:i w:val="false"/>
          <w:caps w:val="false"/>
          <w:smallCaps w:val="false"/>
          <w:sz w:val="20"/>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federal, state, local or non-U.S.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Parent MAA</w:t>
      </w:r>
      <w:r>
        <w:rPr>
          <w:rFonts w:ascii="Times New Roman;Times;Serif" w:hAnsi="Times New Roman;Times;Serif"/>
          <w:b w:val="false"/>
          <w:i w:val="false"/>
          <w:caps w:val="false"/>
          <w:smallCaps w:val="false"/>
          <w:sz w:val="20"/>
        </w:rPr>
        <w:t>” means the fifth amended and restated memorandum and articles of association of Parent, adopted by special resolution dated April 24, 2026, as the same may be amended, supplemented and/or restated from time to time in accordance with the Laws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means, with respect to a Party, actual and intentional common law fraud under the laws of the State of Delaware with respect to the making of the representations and warranties of such Party expressly set forth in this Agreement or in any certificate delivered pursuant to this Agreement, requiring: (a) a false representation of a material fact made by such Party in such representation or warranty or certificate; (b) actual knowledge by the individual(s) making such representation or warranty on behalf of such Party that such representation or warranty was false when made (as opposed to any fraud claim based on constructive knowledge, negligent misrepresentation, recklessness or a similar theory); (c) an intention to induce the Party to whom such representation or warranty was made to act or refrain from acting in reliance upon it; (d) causing that Party to justifiably rely upon such false representation or warranty in taking or refraining from taking action; and (e) that Party to have suffered damage by reason of such reliance. For the avoidance of doubt, “Fraud” does not include any claim for equitable fraud, promissory fraud, unfair dealings fraud, constructive fraud, negligent misrepresentation, or any torts based on negligence or recklessness.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and practices in effect from time to time within the United States applied consistently throughout the period involved.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means any: (a) permit, license, certificate, franchise, permission, variance, exception, approval, exemption, order, clearance, registration, qualification or authorization issued, granted, given or otherwise made available by or under the authority of any Governmental Body or pursuant to any Law; or (b) right under any Contract with any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non-U.S.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non-governmental or self-regulatory organization (including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Indemnification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means a Parent Indemnified Party or a Seller Indemnified Party,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all Taxes of the Company attributable to any Pre-Closing Tax Period (as determined pursuant to </w:t>
      </w:r>
      <w:r>
        <w:rPr>
          <w:rFonts w:ascii="Times New Roman;Times;Serif" w:hAnsi="Times New Roman;Times;Serif"/>
          <w:b w:val="false"/>
          <w:i w:val="false"/>
          <w:caps w:val="false"/>
          <w:smallCaps w:val="false"/>
          <w:sz w:val="20"/>
          <w:u w:val="single"/>
        </w:rPr>
        <w:t>Section 6.5(c)(iii)</w:t>
      </w:r>
      <w:r>
        <w:rPr>
          <w:rFonts w:ascii="Times New Roman;Times;Serif" w:hAnsi="Times New Roman;Times;Serif"/>
          <w:b w:val="false"/>
          <w:i w:val="false"/>
          <w:caps w:val="false"/>
          <w:smallCaps w:val="false"/>
          <w:sz w:val="20"/>
        </w:rPr>
        <w:t>); (b) all Taxes imposed on the Company by reason of its membership in any affiliated, consolidated, combined, or unitary group on or prior to the Closing Date pursuant to Treasury Regulation Section 1.1502-6 or any analogous provision of state, local, or non-U.S. Law; and (c) all Taxes imposed on the Company as a transferee or successor with respect to any event or transaction occurring before the Closing Date; in each case, solely to the extent such Taxes (i) do not arise from or relate to any action taken by Parent or the Surviving Corporation outside the ordinary course of business on the Closing Date after the Closing, and (ii) do not arise from any change in applicable Law enacted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Parties</w:t>
      </w:r>
      <w:r>
        <w:rPr>
          <w:rFonts w:ascii="Times New Roman;Times;Serif" w:hAnsi="Times New Roman;Times;Serif"/>
          <w:b w:val="false"/>
          <w:i w:val="false"/>
          <w:caps w:val="false"/>
          <w:smallCaps w:val="false"/>
          <w:sz w:val="20"/>
        </w:rPr>
        <w:t xml:space="preserve">” means the Parties from whom indemnification may be sought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privacy and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officer or director of such Person as of the date such knowledge is imputed has Knowledge of such fact or other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state, national, non-U.S., local or municipal or other law, statute, constitution, principle of common law, resolution, ordinance, code, edict, decree, rule, regulation, ruling, requirement, self-regulatory requirement, administrative policy or guidance, position statement, declaratory statement, advisory opinion, bulletin, or notifications having the effect of law, issued, enacted, adopted, promulgated, implemented or otherwise put into effect by or under the authority of any Governmental Body (including under the authority of Nasdaq or the Financial Industry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inquiry, audit, civil investigation demand, subpoena, complaint (including a qui tam complaint),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any and all losses, claims, shortages, damages, Liabilities, expenses (including reasonable attorneys’ and accountants’ and other professionals’ fees), assessments, and Taxes, in each case, whether or not foreseeable; provided that Losses shall expressly not include punitive damages except to the extent applicable in relation to any Third Party Claim or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including the Nasdaq Global Select Market or such other Nasdaq market on which Parent Class A Ordinary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Agreements</w:t>
      </w:r>
      <w:r>
        <w:rPr>
          <w:rFonts w:ascii="Times New Roman;Times;Serif" w:hAnsi="Times New Roman;Times;Serif"/>
          <w:b w:val="false"/>
          <w:i w:val="false"/>
          <w:caps w:val="false"/>
          <w:smallCaps w:val="false"/>
          <w:sz w:val="20"/>
        </w:rPr>
        <w:t>” means, collectively, (i) the option agreement entered into between the Company and Andrew Li dated on January 31, 2025; (ii) the option agreement entered into between the Company and Xinyi Li dated on January 31, 2025; (iii) the option agreement entered into between the Company and Hai Vodinh dated on January 31, 2025; and (iv) the option agreement entered into between the Company and Yongqian Chen dated on January 31, 2025, each in the form as provided to Parent on or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Holders</w:t>
      </w:r>
      <w:r>
        <w:rPr>
          <w:rFonts w:ascii="Times New Roman;Times;Serif" w:hAnsi="Times New Roman;Times;Serif"/>
          <w:b w:val="false"/>
          <w:i w:val="false"/>
          <w:caps w:val="false"/>
          <w:smallCaps w:val="false"/>
          <w:sz w:val="20"/>
        </w:rPr>
        <w:t>” means Andrew Li, Xinyi Li, Hai Vodinh and Yongqian Chen.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in the case of each of the Company and Parent, such actions taken in the ordinary course of its normal operations and consistent with its past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an individual), (a) the certificate or articles of association or incorporation or organization or limited partnership or limited liability company, any memorandum and articles of association,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Associate</w:t>
      </w:r>
      <w:r>
        <w:rPr>
          <w:rFonts w:ascii="Times New Roman;Times;Serif" w:hAnsi="Times New Roman;Times;Serif"/>
          <w:b w:val="false"/>
          <w:i w:val="false"/>
          <w:caps w:val="false"/>
          <w:smallCaps w:val="false"/>
          <w:sz w:val="20"/>
        </w:rPr>
        <w:t>” means any current or former employee, independent contractor, officer or director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Balance Sheet</w:t>
      </w:r>
      <w:r>
        <w:rPr>
          <w:rFonts w:ascii="Times New Roman;Times;Serif" w:hAnsi="Times New Roman;Times;Serif"/>
          <w:b w:val="false"/>
          <w:i w:val="false"/>
          <w:caps w:val="false"/>
          <w:smallCaps w:val="false"/>
          <w:sz w:val="20"/>
        </w:rPr>
        <w:t>” means the audited balance sheet of Parent as of December 31, 2025, included in Parent’s Report on Form 20-F for the annual period ended December 31, 2025, as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Balance Sheet Date</w:t>
      </w:r>
      <w:r>
        <w:rPr>
          <w:rFonts w:ascii="Times New Roman;Times;Serif" w:hAnsi="Times New Roman;Times;Serif"/>
          <w:b w:val="false"/>
          <w:i w:val="false"/>
          <w:caps w:val="false"/>
          <w:smallCaps w:val="false"/>
          <w:sz w:val="20"/>
        </w:rPr>
        <w:t>” means the date of the Parent Interim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Board</w:t>
      </w:r>
      <w:r>
        <w:rPr>
          <w:rFonts w:ascii="Times New Roman;Times;Serif" w:hAnsi="Times New Roman;Times;Serif"/>
          <w:b w:val="false"/>
          <w:i w:val="false"/>
          <w:caps w:val="false"/>
          <w:smallCaps w:val="false"/>
          <w:sz w:val="20"/>
        </w:rPr>
        <w:t>” means the board of directors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Capitalization Representations</w:t>
      </w:r>
      <w:r>
        <w:rPr>
          <w:rFonts w:ascii="Times New Roman;Times;Serif" w:hAnsi="Times New Roman;Times;Serif"/>
          <w:b w:val="false"/>
          <w:i w:val="false"/>
          <w:caps w:val="false"/>
          <w:smallCaps w:val="false"/>
          <w:sz w:val="20"/>
        </w:rPr>
        <w:t xml:space="preserve">” means the representations and warranties of Parent set forth in </w:t>
      </w:r>
      <w:r>
        <w:rPr>
          <w:rFonts w:ascii="Times New Roman;Times;Serif" w:hAnsi="Times New Roman;Times;Serif"/>
          <w:b w:val="false"/>
          <w:i w:val="false"/>
          <w:caps w:val="false"/>
          <w:smallCaps w:val="false"/>
          <w:sz w:val="20"/>
          <w:u w:val="single"/>
        </w:rPr>
        <w:t>Sections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Class A Ordinary Shares</w:t>
      </w:r>
      <w:r>
        <w:rPr>
          <w:rFonts w:ascii="Times New Roman;Times;Serif" w:hAnsi="Times New Roman;Times;Serif"/>
          <w:b w:val="false"/>
          <w:i w:val="false"/>
          <w:caps w:val="false"/>
          <w:smallCaps w:val="false"/>
          <w:sz w:val="20"/>
        </w:rPr>
        <w:t>” means the class A ordinary shares of Parent, par value US$0.0015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Class B Ordinary Shares</w:t>
      </w:r>
      <w:r>
        <w:rPr>
          <w:rFonts w:ascii="Times New Roman;Times;Serif" w:hAnsi="Times New Roman;Times;Serif"/>
          <w:b w:val="false"/>
          <w:i w:val="false"/>
          <w:caps w:val="false"/>
          <w:smallCaps w:val="false"/>
          <w:sz w:val="20"/>
        </w:rPr>
        <w:t>” means the convertible class B ordinary shares of Parent, par value US$0.0015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Contract</w:t>
      </w:r>
      <w:r>
        <w:rPr>
          <w:rFonts w:ascii="Times New Roman;Times;Serif" w:hAnsi="Times New Roman;Times;Serif"/>
          <w:b w:val="false"/>
          <w:i w:val="false"/>
          <w:caps w:val="false"/>
          <w:smallCaps w:val="false"/>
          <w:sz w:val="20"/>
        </w:rPr>
        <w:t>”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Covered Person</w:t>
      </w:r>
      <w:r>
        <w:rPr>
          <w:rFonts w:ascii="Times New Roman;Times;Serif" w:hAnsi="Times New Roman;Times;Serif"/>
          <w:b w:val="false"/>
          <w:i w:val="false"/>
          <w:caps w:val="false"/>
          <w:smallCaps w:val="false"/>
          <w:sz w:val="20"/>
        </w:rPr>
        <w:t>” means, with respect to Parent as an “issuer” for purposes of Rule 506 promulgated under the Securities Act, any Person listed in the first paragraph of Rule 506(d)(1).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ERISA Affiliate</w:t>
      </w:r>
      <w:r>
        <w:rPr>
          <w:rFonts w:ascii="Times New Roman;Times;Serif" w:hAnsi="Times New Roman;Times;Serif"/>
          <w:b w:val="false"/>
          <w:i w:val="false"/>
          <w:caps w:val="false"/>
          <w:smallCaps w:val="false"/>
          <w:sz w:val="20"/>
        </w:rPr>
        <w:t>” means any corporation or trade or business (whether or not incorporated) which is (or at any relevant time was) treated with Parent or any of its Subsidiaries as a single employer within the meaning of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Fundamental Representations</w:t>
      </w:r>
      <w:r>
        <w:rPr>
          <w:rFonts w:ascii="Times New Roman;Times;Serif" w:hAnsi="Times New Roman;Times;Serif"/>
          <w:b w:val="false"/>
          <w:i w:val="false"/>
          <w:caps w:val="false"/>
          <w:smallCaps w:val="false"/>
          <w:sz w:val="20"/>
        </w:rPr>
        <w:t xml:space="preserve">” means the representations and warranties of Parent and Merger Sub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(Due Organization; Subsidiaries),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(Authority; Binding Nature of Agreement),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(Vote Required),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(Non-Contravention; Consents),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(Capitalization) and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(No Financial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Indemnified Parties</w:t>
      </w:r>
      <w:r>
        <w:rPr>
          <w:rFonts w:ascii="Times New Roman;Times;Serif" w:hAnsi="Times New Roman;Times;Serif"/>
          <w:b w:val="false"/>
          <w:i w:val="false"/>
          <w:caps w:val="false"/>
          <w:smallCaps w:val="false"/>
          <w:sz w:val="20"/>
        </w:rPr>
        <w:t>” means Parent, its Affiliates, successors and assigns, and their respective officers, directors, stockholders, employees, agents, and representatives, including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Interim Financial Statements</w:t>
      </w:r>
      <w:r>
        <w:rPr>
          <w:rFonts w:ascii="Times New Roman;Times;Serif" w:hAnsi="Times New Roman;Times;Serif"/>
          <w:b w:val="false"/>
          <w:i w:val="false"/>
          <w:caps w:val="false"/>
          <w:smallCaps w:val="false"/>
          <w:sz w:val="20"/>
        </w:rPr>
        <w:t>” means the unaudited interim financial statements, including balance sheet, of Parent as of the six-month period ending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IP</w:t>
      </w:r>
      <w:r>
        <w:rPr>
          <w:rFonts w:ascii="Times New Roman;Times;Serif" w:hAnsi="Times New Roman;Times;Serif"/>
          <w:b w:val="false"/>
          <w:i w:val="false"/>
          <w:caps w:val="false"/>
          <w:smallCaps w:val="false"/>
          <w:sz w:val="20"/>
        </w:rPr>
        <w:t>” means all Intellectual Property Rights that are owned or purported to be owned by, assigned to, or exclusively licensed by, Parent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taken as a whole; provided, however, that Effects arising or resulting from the following shall not be taken into account in determining whether there has been a Parent Material Adverse Effect: (a) the announcement or pendency of this Agreement or the Contemplated Transactions, including any impact on the relationships of Parent with its customers, suppliers, distributors, employees, financing sources or other business partners resulting therefrom, (b) the taking of any action, or the failure to take any action, by Parent that is required to comply with the terms of this Agreement or that is taken at the written request or with the prior written consent of the Company, (c) any natural disaster or any act or threat of terrorism or war anywhere in the world, any armed hostilities or terrorist activities anywhere in the world, any threat or escalation of armed hostilities or terrorist activities anywhere in the world or any governmental or other response or reaction to any of the foregoing, (d) any epidemic or pandemic in the United States or any other country or region in the world, or any escalation of the foregoing, or any governmental or other response or reaction thereto, (e) any change in GAAP or applicable Laws or the interpretation or enforcement thereof, (f) general economic, regulatory or political conditions or conditions in the financial, banking, credit or securities markets (including changes in interest rates or exchange rates) or conditions generally affecting the industries in which Parent and its Subsidiaries operate, (g) any change in the cash position of Parent and its Subsidiaries which results from operations in the Ordinary Course of Business, (h) any change in the stock price or trading volume of the Parent Ordinary Shares (it being understood, however, that any Effect causing or contributing to any change in stock price or trading volume of the Parent Ordinary Shares may be taken into account in determining whether a Parent Material Adverse Effect has occurred, unless such Effect is otherwise excepted from this definition), (i) any failure by Parent to meet any internal or published projections, forecasts, estimates or predictions of revenue, earnings or other financial or operating metrics for any period (it being understood that the underlying causes of any such failure may be taken into account in determining whether a Parent Material Adverse Effect has occurred to the extent not otherwise excluded by this definition), or (j) seasonal fluctuations in the business of Parent and its Subsidiaries; except in each case with respect to clauses (c), (d), (e) and (f), to the extent such Effects disproportionately affect Parent and its Subsidiaries, taken as a whole, relative to other similarly situated companies in the industries in which Parent and its Subsidiaries operate (in which case only the incremental disproportionate impact shall be taken into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Options</w:t>
      </w:r>
      <w:r>
        <w:rPr>
          <w:rFonts w:ascii="Times New Roman;Times;Serif" w:hAnsi="Times New Roman;Times;Serif"/>
          <w:b w:val="false"/>
          <w:i w:val="false"/>
          <w:caps w:val="false"/>
          <w:smallCaps w:val="false"/>
          <w:sz w:val="20"/>
        </w:rPr>
        <w:t>” means options or other rights to purchase Parent Class A Ordinary Shares issued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Ordinary Shares</w:t>
      </w:r>
      <w:r>
        <w:rPr>
          <w:rFonts w:ascii="Times New Roman;Times;Serif" w:hAnsi="Times New Roman;Times;Serif"/>
          <w:b w:val="false"/>
          <w:i w:val="false"/>
          <w:caps w:val="false"/>
          <w:smallCaps w:val="false"/>
          <w:sz w:val="20"/>
        </w:rPr>
        <w:t>” means, collectively, the Parent Class A Ordinary Shares and the Parent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Outstanding Shares</w:t>
      </w:r>
      <w:r>
        <w:rPr>
          <w:rFonts w:ascii="Times New Roman;Times;Serif" w:hAnsi="Times New Roman;Times;Serif"/>
          <w:b w:val="false"/>
          <w:i w:val="false"/>
          <w:caps w:val="false"/>
          <w:smallCaps w:val="false"/>
          <w:sz w:val="20"/>
        </w:rPr>
        <w:t>” means the total number of Parent Ordinary Shares outstanding expressed on a fully diluted and as converted basis, calculated using the treasury stock method, and assuming, without limitation or duplication, the issuance of Parent Class A Ordinary Shares in respect of all Parent Preferred Shares, Parent Options, Parent RSUs, warrants, or other rights to receive shares, whether conditional or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Preferred Shares</w:t>
      </w:r>
      <w:r>
        <w:rPr>
          <w:rFonts w:ascii="Times New Roman;Times;Serif" w:hAnsi="Times New Roman;Times;Serif"/>
          <w:b w:val="false"/>
          <w:i w:val="false"/>
          <w:caps w:val="false"/>
          <w:smallCaps w:val="false"/>
          <w:sz w:val="20"/>
        </w:rPr>
        <w:t>” means the preference shares of Parent, par value US$0.0015 per share, authorized pursuant to the Existing Parent MAA.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RSU</w:t>
      </w:r>
      <w:r>
        <w:rPr>
          <w:rFonts w:ascii="Times New Roman;Times;Serif" w:hAnsi="Times New Roman;Times;Serif"/>
          <w:b w:val="false"/>
          <w:i w:val="false"/>
          <w:caps w:val="false"/>
          <w:smallCaps w:val="false"/>
          <w:sz w:val="20"/>
        </w:rPr>
        <w:t>” means restricted stock units with respect to, or that may be settled in, Parent Class A Ordinary Shares issued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Stock Plan</w:t>
      </w:r>
      <w:r>
        <w:rPr>
          <w:rFonts w:ascii="Times New Roman;Times;Serif" w:hAnsi="Times New Roman;Times;Serif"/>
          <w:b w:val="false"/>
          <w:i w:val="false"/>
          <w:caps w:val="false"/>
          <w:smallCaps w:val="false"/>
          <w:sz w:val="20"/>
        </w:rPr>
        <w:t>” means Parent’s equity incentive plan(s), as in effect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Transaction Expenses</w:t>
      </w:r>
      <w:r>
        <w:rPr>
          <w:rFonts w:ascii="Times New Roman;Times;Serif" w:hAnsi="Times New Roman;Times;Serif"/>
          <w:b w:val="false"/>
          <w:i w:val="false"/>
          <w:caps w:val="false"/>
          <w:smallCaps w:val="false"/>
          <w:sz w:val="20"/>
        </w:rPr>
        <w:t xml:space="preserve">” means, with respect to Parent, the aggregate amount (without duplication) of all costs, fees and expenses incurred by Parent or any of its Subsidiaries (other than the Surviving Corporation), or for which such Person is or may become liable (a) in connection with the Contemplated Transactions and the negotiation, preparation and execution of the Transaction Agreements, including any fees and expenses of legal counsel, accountants and other advisors of such Person, as more specifically set forth on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to the Parent Disclosure Schedules, and (b) related to the Parent Shareholders’ Meeting, including, without limitation, the fees and expenses of any proxy solicitation firm hired to solicit proxies for the Parent Shareholders’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Triggering Event</w:t>
      </w:r>
      <w:r>
        <w:rPr>
          <w:rFonts w:ascii="Times New Roman;Times;Serif" w:hAnsi="Times New Roman;Times;Serif"/>
          <w:b w:val="false"/>
          <w:i w:val="false"/>
          <w:caps w:val="false"/>
          <w:smallCaps w:val="false"/>
          <w:sz w:val="20"/>
        </w:rPr>
        <w:t xml:space="preserve">” shall be deemed to have occurred if: (a) Parent shall have failed to include in any proxy statement to the Parent Shareholders the Parent Board Recommendation or shall have made a Parent Board Adverse Recommendation Change; (b) the Parent Board or any committee thereof shall have publicly approved, endorsed or recommended any Acquisition Proposal; or (c) Parent shall have entered into any letter of intent or similar document or any Contract relating to any Acquisition Proposal (other than a confidentiality agreement permitted pursuant to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the Company, Merger Sub, Parent, and each of the Sellers (Tao and James).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w:t>
      </w:r>
      <w:r>
        <w:rPr>
          <w:rFonts w:ascii="Times New Roman;Times;Serif" w:hAnsi="Times New Roman;Times;Serif"/>
          <w:b w:val="false"/>
          <w:i w:val="false"/>
          <w:caps w:val="false"/>
          <w:smallCaps w:val="false"/>
          <w:sz w:val="20"/>
        </w:rPr>
        <w:t>” means: (a) any Encumbrance (i) for current Taxes not yet due and payable or (ii) for Taxes that are being contested in good faith and for which adequate reserves have been made on the Company Unaudited Interim Balance Sheet or the Parent Balance Sheet, as applicable, in accordance with GAAP; (b) statutory liens to secure obligations to landlords, lessors or renters under leases or rental agreements; (c) deposits or pledges made in connection with, or to secure payment of, workers’ compensation, unemployment insurance or similar programs mandated by Law; (d) non-exclusive licenses of Intellectual Property Rights granted by the Company or Parent or any of its Subsidiaries, as applicable, in the Ordinary Course of Business and that do not (in any case or in the aggregate) materially detract from the value of the Intellectual Property Rights subject thereto; and (e) statutory liens in favor of carriers, warehousemen, mechanics and materialmen, to secure claims for labor, materials or supplies.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means US$18.15 per Parent Class A Ordinary Share, as adjusted to account for any subdivision (by stock split, subdivision, exchange, stock dividend, reclassification or otherwise) or combination (by reverse stock split, exchange, reclassification or otherwise) or similar reclassification of the issued and outstanding Parent Class A Ordinary Shares occurring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PIPE Minimum Amount</w:t>
      </w:r>
      <w:r>
        <w:rPr>
          <w:rFonts w:ascii="Times New Roman;Times;Serif" w:hAnsi="Times New Roman;Times;Serif"/>
          <w:b w:val="false"/>
          <w:i w:val="false"/>
          <w:caps w:val="false"/>
          <w:smallCaps w:val="false"/>
          <w:sz w:val="20"/>
        </w:rPr>
        <w:t>” means US$4,500,655.50, or such lesser amount as Parent may agree to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PIPE Investors</w:t>
      </w:r>
      <w:r>
        <w:rPr>
          <w:rFonts w:ascii="Times New Roman;Times;Serif" w:hAnsi="Times New Roman;Times;Serif"/>
          <w:b w:val="false"/>
          <w:i w:val="false"/>
          <w:caps w:val="false"/>
          <w:smallCaps w:val="false"/>
          <w:sz w:val="20"/>
        </w:rPr>
        <w:t>” means, collectively, (i) each Person that executes and delivers a counterpart to the PIPE Share Purchase Agreement as an “Investor” (as defined thereunder), and (ii) any Affiliate or other permitted assignee of a PIPE Investor to whom rights and obligations under the PIPE Share Purchase Agreement have been assigned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PIPE Registration Rights Agreement</w:t>
      </w:r>
      <w:r>
        <w:rPr>
          <w:rFonts w:ascii="Times New Roman;Times;Serif" w:hAnsi="Times New Roman;Times;Serif"/>
          <w:b w:val="false"/>
          <w:i w:val="false"/>
          <w:caps w:val="false"/>
          <w:smallCaps w:val="false"/>
          <w:sz w:val="20"/>
        </w:rPr>
        <w:t xml:space="preserve">” means the Registration Rights Agreement entered into at or prior to Closing by and among Parent and the PIPE Investors,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pursuant to which Parent will provide certain registration rights in respect of the Parent Class A Ordinary Shares issued to the PIPE Investors in connection with the PIPE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PIPE Share Purchase Agreement</w:t>
      </w:r>
      <w:r>
        <w:rPr>
          <w:rFonts w:ascii="Times New Roman;Times;Serif" w:hAnsi="Times New Roman;Times;Serif"/>
          <w:b w:val="false"/>
          <w:i w:val="false"/>
          <w:caps w:val="false"/>
          <w:smallCaps w:val="false"/>
          <w:sz w:val="20"/>
        </w:rPr>
        <w:t xml:space="preserve">” means the Share Purchase Agreement entered into concurrently with the execution and delivery of this Agreement by and among Parent and the initial PIPE Investors,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pursuant to which the PIPE Investors have agreed to purchase an aggregate of 247,970 Parent Class A Ordinary Shares from Parent, for an aggregate cash consideration of US$4,500,655.50 (representing a purchase price of US$18.15 per share), on or immediately following the Closing (the “</w:t>
      </w:r>
      <w:r>
        <w:rPr>
          <w:rFonts w:ascii="Times New Roman;Times;Serif" w:hAnsi="Times New Roman;Times;Serif"/>
          <w:b/>
          <w:i w:val="false"/>
          <w:caps w:val="false"/>
          <w:smallCaps w:val="false"/>
          <w:sz w:val="20"/>
        </w:rPr>
        <w:t>PIPE Investment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taxable period ending on and including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of a Seller means the percentage represented by a fraction, the numerator of which is the number of shares of Company Common Stock held by such Seller immediately prior to the Effective Time and the denominator of which is the total number of shares of Company Common Stock held by both Sellers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Date</w:t>
      </w:r>
      <w:r>
        <w:rPr>
          <w:rFonts w:ascii="Times New Roman;Times;Serif" w:hAnsi="Times New Roman;Times;Serif"/>
          <w:b w:val="false"/>
          <w:i w:val="false"/>
          <w:caps w:val="false"/>
          <w:smallCaps w:val="false"/>
          <w:sz w:val="20"/>
        </w:rPr>
        <w:t>” means July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IP</w:t>
      </w:r>
      <w:r>
        <w:rPr>
          <w:rFonts w:ascii="Times New Roman;Times;Serif" w:hAnsi="Times New Roman;Times;Serif"/>
          <w:b w:val="false"/>
          <w:i w:val="false"/>
          <w:caps w:val="false"/>
          <w:smallCaps w:val="false"/>
          <w:sz w:val="20"/>
        </w:rPr>
        <w:t>” means all Intellectual Property Rights that are registered or issued under the authority of, with or by any Governmental Body, including all patents, registered copyrights, registered mask works, and registered trademarks, service marks and trade dress, domain names, and all applications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directors, officers, employees, agents, attorneys, accountants, investment bankers,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Reserved Option Pool</w:t>
      </w:r>
      <w:r>
        <w:rPr>
          <w:rFonts w:ascii="Times New Roman;Times;Serif" w:hAnsi="Times New Roman;Times;Serif"/>
          <w:b w:val="false"/>
          <w:i w:val="false"/>
          <w:caps w:val="false"/>
          <w:smallCaps w:val="false"/>
          <w:sz w:val="20"/>
        </w:rPr>
        <w:t>” means 185,675 Parent Class A Ordinary Shares reserved for future issuance to and allocated among the Option Holders under the New Parent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SAFE Agreements</w:t>
      </w:r>
      <w:r>
        <w:rPr>
          <w:rFonts w:ascii="Times New Roman;Times;Serif" w:hAnsi="Times New Roman;Times;Serif"/>
          <w:b w:val="false"/>
          <w:i w:val="false"/>
          <w:caps w:val="false"/>
          <w:smallCaps w:val="false"/>
          <w:sz w:val="20"/>
        </w:rPr>
        <w:t>” means, collectively, (i) the Simple Agreement for Future Equity entered into between the Company and HorizonAI Ventures LLC dated on June 5, 2024; (ii) the Simple Agreement for Future Equity entered into between the Company and Signal Pulse Hardware &amp; Networks Inc. dated on June 13, 2024; and (iii) the Simple Agreement for Future Equity entered into between the Company and Bit Digital HPC, Inc. dated on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SAFE Investors</w:t>
      </w:r>
      <w:r>
        <w:rPr>
          <w:rFonts w:ascii="Times New Roman;Times;Serif" w:hAnsi="Times New Roman;Times;Serif"/>
          <w:b w:val="false"/>
          <w:i w:val="false"/>
          <w:caps w:val="false"/>
          <w:smallCaps w:val="false"/>
          <w:sz w:val="20"/>
        </w:rPr>
        <w:t>” means collectively, HorizonAI Ventures LLC, Signal Pulse Hardware &amp; Networks Inc. and Bit Digital HPC, Inc., and/or their respective Affiliates or assignees,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 Fundamental Representations</w:t>
      </w:r>
      <w:r>
        <w:rPr>
          <w:rFonts w:ascii="Times New Roman;Times;Serif" w:hAnsi="Times New Roman;Times;Serif"/>
          <w:b w:val="false"/>
          <w:i w:val="false"/>
          <w:caps w:val="false"/>
          <w:smallCaps w:val="false"/>
          <w:sz w:val="20"/>
        </w:rPr>
        <w:t xml:space="preserve">” means the representations and warranties of the Sellers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(Ownership of Shares),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(Capacity and Authority),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(No Conflict) and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(No Financial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 Person means an Entity in which such Person directly or indirectly owns or purports to own, beneficially or of record, (a) an amount of voting securities or other interests that is sufficient to enable such Person to elect at least a majority of the members of such Entity’s board of directors or other governing body, or (b) at least 50% of the outstanding equity, voting, beneficial or financial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Takeover Statute</w:t>
      </w:r>
      <w:r>
        <w:rPr>
          <w:rFonts w:ascii="Times New Roman;Times;Serif" w:hAnsi="Times New Roman;Times;Serif"/>
          <w:b w:val="false"/>
          <w:i w:val="false"/>
          <w:caps w:val="false"/>
          <w:smallCaps w:val="false"/>
          <w:sz w:val="20"/>
        </w:rPr>
        <w:t>” means any “fair price,” “moratorium,” “control share acquisition” or other similar anti-takeover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(i) federal, state, local, non-U.S. or other tax, including any income, capital gain, gross receipts, capital stock, profits, transfer, estimated, registration, stamp, premium,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(on amounts paid or received) or other taxes, duties, assessments or governmental charges, surtaxes or deficiencies thereof in the nature of a tax, however denominated (whether imposed directly or through withholding and whether or not disputed), and including any fine, penalty, addition to tax, or interest or additional amount imposed by a Governmental Body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(including any information return), report, statement, declaration, claim for refund, estimate, schedule, notice, notification, form, election, certificate or other document, and any amendment or supplement to any of the foregoing, filed with or submitted to, or required to be filed with or submitted to, any Governmental Body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the Indemnification Agreements, the Li Consulting Agreement, the A&amp;R Parent MAA, the PIPE Share Purchase Agreement, the PIPE Registration Rights Agreement, the Support Agreement, the Energy Science Registration Rights Agreement, the Option and Exchange Agreements, the Escrow Agreement, the Surrender and Termination of SAFE Agreements, and all Exhibits and Schedules attached hereto or delivered in connection herewith, and all other documents executed and/or delivered by any party pursuant to or in connection with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United States Treasury regulations promulgated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Worker Adjustment and Retraining Notification Act of 1988, as amended, or any similar state or local plant closing mass layoff statute,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br/>
        <w:br/>
        <w:t>Post-Closing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Officers</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1715"/>
        <w:gridCol w:w="60"/>
        <w:gridCol w:w="2120"/>
      </w:tblGrid>
      <w:tr>
        <w:trPr/>
        <w:tc>
          <w:tcPr>
            <w:tcW w:w="171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7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Taoyue (Tao) Zhang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1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Taoyue (Tao) Zhang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17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Chunyi (James) Liao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C</w:t>
      </w:r>
      <w:r>
        <w:rPr>
          <w:rFonts w:ascii="Times New Roman;Times;Serif" w:hAnsi="Times New Roman;Times;Serif"/>
          <w:b/>
          <w:i w:val="false"/>
          <w:caps w:val="false"/>
          <w:smallCaps w:val="false"/>
          <w:sz w:val="20"/>
        </w:rPr>
        <w:br/>
        <w:br/>
        <w:t>Form of PIPE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D</w:t>
      </w:r>
      <w:r>
        <w:rPr>
          <w:rFonts w:ascii="Times New Roman;Times;Serif" w:hAnsi="Times New Roman;Times;Serif"/>
          <w:b/>
          <w:i w:val="false"/>
          <w:caps w:val="false"/>
          <w:smallCaps w:val="false"/>
          <w:sz w:val="20"/>
        </w:rPr>
        <w:br/>
        <w:br/>
        <w:t>Form of PIPE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E</w:t>
      </w:r>
      <w:r>
        <w:rPr>
          <w:rFonts w:ascii="Times New Roman;Times;Serif" w:hAnsi="Times New Roman;Times;Serif"/>
          <w:b/>
          <w:i w:val="false"/>
          <w:caps w:val="false"/>
          <w:smallCaps w:val="false"/>
          <w:sz w:val="20"/>
        </w:rPr>
        <w:br/>
        <w:br/>
        <w:t>Form of Indemnification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F</w:t>
      </w:r>
      <w:r>
        <w:rPr>
          <w:rFonts w:ascii="Times New Roman;Times;Serif" w:hAnsi="Times New Roman;Times;Serif"/>
          <w:b/>
          <w:i w:val="false"/>
          <w:caps w:val="false"/>
          <w:smallCaps w:val="false"/>
          <w:sz w:val="20"/>
        </w:rPr>
        <w:br/>
        <w:br/>
        <w:t>Form of A&amp;R Parent MAA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G</w:t>
      </w:r>
      <w:r>
        <w:rPr>
          <w:rFonts w:ascii="Times New Roman;Times;Serif" w:hAnsi="Times New Roman;Times;Serif"/>
          <w:b/>
          <w:i w:val="false"/>
          <w:caps w:val="false"/>
          <w:smallCaps w:val="false"/>
          <w:sz w:val="20"/>
        </w:rPr>
        <w:br/>
        <w:br/>
        <w:t>Form of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H</w:t>
      </w:r>
      <w:r>
        <w:rPr>
          <w:rFonts w:ascii="Times New Roman;Times;Serif" w:hAnsi="Times New Roman;Times;Serif"/>
          <w:b/>
          <w:i w:val="false"/>
          <w:caps w:val="false"/>
          <w:smallCaps w:val="false"/>
          <w:sz w:val="20"/>
        </w:rPr>
        <w:br/>
        <w:br/>
        <w:t>Form of Energy Science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I</w:t>
      </w:r>
      <w:r>
        <w:rPr>
          <w:rFonts w:ascii="Times New Roman;Times;Serif" w:hAnsi="Times New Roman;Times;Serif"/>
          <w:b/>
          <w:i w:val="false"/>
          <w:caps w:val="false"/>
          <w:smallCaps w:val="false"/>
          <w:sz w:val="20"/>
        </w:rPr>
        <w:br/>
        <w:br/>
        <w:t>Form of Option and Exchange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Exhibit J</w:t>
      </w:r>
      <w:r>
        <w:rPr>
          <w:rFonts w:ascii="Times New Roman;Times;Serif" w:hAnsi="Times New Roman;Times;Serif"/>
          <w:b/>
          <w:i w:val="false"/>
          <w:caps w:val="false"/>
          <w:smallCaps w:val="false"/>
          <w:sz w:val="20"/>
        </w:rPr>
        <w:br/>
        <w:br/>
        <w:t>Form of Surrender and Termination of SAFE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J-1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1.4(e)</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Surviving Corporation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5.1(a)</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Operation of Parent’s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5.1(b)</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Parent Permitted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5.2(a)</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Operation of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5.2(b)</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Company Permitted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6.6(a)</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Parent Directors and Officers to Resign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7.1(f)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130601ex10-1.htm"/>
      <w:bookmarkStart w:id="5" w:name="ksea030130601ex101"/>
      <w:bookmarkEnd w:id="4"/>
      <w:bookmarkEnd w:id="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AND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Option and Exchange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effective as of August 10, 2026 by and among (i) SAIHEAT Limited, an exempted company with limited liability incorporated under the laws of the Cayman Islands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(ii) Canopy Wave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(iii) [●] (“</w:t>
      </w:r>
      <w:r>
        <w:rPr>
          <w:rFonts w:ascii="Times New Roman;Times;Serif" w:hAnsi="Times New Roman;Times;Serif"/>
          <w:b/>
          <w:i w:val="false"/>
          <w:caps w:val="false"/>
          <w:smallCaps w:val="false"/>
          <w:sz w:val="20"/>
        </w:rPr>
        <w:t>Grantee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foregoing parties are referred to in this Agreement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Concurrently with the execution of this Agreement, Parent, the Company and certain other parties named therein will enter into an Agreement and Plan of Merger (as further amended, supplemented and restated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the Company will merge with and into Saiheat Merger Sub, Inc., a Delaware corporation and a wholly-owned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ceasing to exist and Merger Sub continuing as the surviving corporation in the Merger and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hereof, Grantee holds an option to purchase [</w:t>
      </w:r>
      <w:r>
        <w:rPr>
          <w:rFonts w:ascii="Times New Roman;Times;Serif" w:hAnsi="Times New Roman;Times;Serif"/>
          <w:b w:val="false"/>
          <w:i/>
          <w:caps w:val="false"/>
          <w:smallCaps w:val="false"/>
          <w:sz w:val="20"/>
        </w:rPr>
        <w:t>number</w:t>
      </w:r>
      <w:r>
        <w:rPr>
          <w:rFonts w:ascii="Times New Roman;Times;Serif" w:hAnsi="Times New Roman;Times;Serif"/>
          <w:b w:val="false"/>
          <w:i w:val="false"/>
          <w:caps w:val="false"/>
          <w:smallCaps w:val="false"/>
          <w:sz w:val="20"/>
        </w:rPr>
        <w:t>] shares of common stock of the Company (the “</w:t>
      </w:r>
      <w:r>
        <w:rPr>
          <w:rFonts w:ascii="Times New Roman;Times;Serif" w:hAnsi="Times New Roman;Times;Serif"/>
          <w:b/>
          <w:i w:val="false"/>
          <w:caps w:val="false"/>
          <w:smallCaps w:val="false"/>
          <w:sz w:val="20"/>
        </w:rPr>
        <w:t>Original Option</w:t>
      </w:r>
      <w:r>
        <w:rPr>
          <w:rFonts w:ascii="Times New Roman;Times;Serif" w:hAnsi="Times New Roman;Times;Serif"/>
          <w:b w:val="false"/>
          <w:i w:val="false"/>
          <w:caps w:val="false"/>
          <w:smallCaps w:val="false"/>
          <w:sz w:val="20"/>
        </w:rPr>
        <w:t xml:space="preserve">”) on the terms and conditions set forth in an Option Agreement by and between Grantee and the Company dated as of [January 31, 2025], as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Original Option Agreement</w:t>
      </w:r>
      <w:r>
        <w:rPr>
          <w:rFonts w:ascii="Times New Roman;Times;Serif" w:hAnsi="Times New Roman;Times;Serif"/>
          <w:b w:val="false"/>
          <w:i w:val="false"/>
          <w:caps w:val="false"/>
          <w:smallCaps w:val="false"/>
          <w:sz w:val="20"/>
        </w:rPr>
        <w:t>”), which will remain outstanding and unexercised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Merger Agreement, at the Effective Time, the Original Option, whether vested or not, shall be cancelled and exchanged for an option to purchase a certain number of Parent Class A Ordinary Shares determined in accordance with the Merger Agreement and this Agreement (the “</w:t>
      </w:r>
      <w:r>
        <w:rPr>
          <w:rFonts w:ascii="Times New Roman;Times;Serif" w:hAnsi="Times New Roman;Times;Serif"/>
          <w:b/>
          <w:i w:val="false"/>
          <w:caps w:val="false"/>
          <w:smallCaps w:val="false"/>
          <w:sz w:val="20"/>
        </w:rPr>
        <w:t>New Parent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in this Agreement, the receipt and sufficiency of which are hereby acknowledged, and intending to be legally bound, the Parties to this Agreement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Definitions.</w:t>
      </w:r>
      <w:r>
        <w:rPr>
          <w:rFonts w:ascii="Times New Roman;Times;Serif" w:hAnsi="Times New Roman;Times;Serif"/>
          <w:b w:val="false"/>
          <w:i w:val="false"/>
          <w:caps w:val="false"/>
          <w:smallCaps w:val="false"/>
          <w:sz w:val="20"/>
        </w:rPr>
        <w:t xml:space="preserve"> Capitalized terms used and not otherwise defined herein shall have the meanings ascribed to them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Cancellation and Exchange. </w:t>
      </w:r>
      <w:r>
        <w:rPr>
          <w:rFonts w:ascii="Times New Roman;Times;Serif" w:hAnsi="Times New Roman;Times;Serif"/>
          <w:b w:val="false"/>
          <w:i w:val="false"/>
          <w:caps w:val="false"/>
          <w:smallCaps w:val="false"/>
          <w:sz w:val="20"/>
        </w:rPr>
        <w:t>Effective at the Effective Time, (a) the Original Option is hereby cancelled and exchanged for the New Parent Option to purchase a certain number of Parent Class A Ordinary Shares, and (b) Parent hereby assumes the obligations of the Company with respect to the Original Option solely as cancelled and exchanged for the New Parent Option, in each case in accordance with the terms and conditions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New Parent Option. </w:t>
      </w:r>
      <w:r>
        <w:rPr>
          <w:rFonts w:ascii="Times New Roman;Times;Serif" w:hAnsi="Times New Roman;Times;Serif"/>
          <w:b w:val="false"/>
          <w:i w:val="false"/>
          <w:caps w:val="false"/>
          <w:smallCaps w:val="false"/>
          <w:sz w:val="20"/>
        </w:rPr>
        <w:t>The Parties acknowledge and agree that the following provisions shall govern the New Parent Option:</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unless the context otherwise requires, all references in the Original Option Agreement shall be adjusted as follows: (a) all references to the “Company” shall be read as references to Parent, (b) all references to the “Shares” shall be read as references to Parent Class A Ordinary Shares, and (c) all references to the “Board” shall be read as references to the board of directors of Parent;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Grant Date, exercise period and Expiration Date (each as defined in the Original Option Agreement, as applicable) of the New Parent Option shall remain the same as the Original Option;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 xml:space="preserve">the number of Parent Class A Ordinary Shares subject to the New Parent Option and the per share exercise price are determined in accordance with the Merger Agreement, as set out in the attached </w:t>
            </w:r>
            <w:r>
              <w:rPr>
                <w:u w:val="single"/>
              </w:rPr>
              <w:t>Schedule A</w:t>
            </w:r>
            <w:r>
              <w:rPr/>
              <w:t>, and are intended to (a) ensure that the spread of the New Parent Option (i.e., the difference between the aggregate fair market value and the aggregate exercise price) does not exceed the total spread that existed immediately prior to the Merger, and (b) preserve, on a per share basis, the ratio of exercise price to fair market value that existed immediately prior to the Merger;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the Change of Control provisions in the Original Option Agreement shall hereafter be applied solely on the basis of a Change of Control (as defined thereunder) applied to Parent in lieu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t>whenever there is a reference to a specific number of Parent Class A Ordinary Shares or a specific per share price for such shares, then upon the occurrence of any subdivision, combination or share dividend or extraordinary dividend of or on Parent Class A Ordinary Shares with an effective or record date from the date hereof, the specific number of such shares or price so referenced in this Agreement shall be proportionally adjusted to reflect the effect on the outstanding shares of such class or series of shares by such subdivision, combination or dividend;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both"/>
              <w:rPr/>
            </w:pPr>
            <w:r>
              <w:rPr/>
              <w:t>except to the extent specifically modified by this Agreement or as otherwise agreed in writing by Parent and Grantee, all of the terms and conditions of the Original Option Agreement (including but not limited to any restriction on the exercise of the Original Option) as in effect immediately prior to the Merger shall continue in full force and effect and shall remain substantially unchanged with respect to the New Parent Option.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ENTIRE AGREEMENT. </w:t>
      </w:r>
      <w:r>
        <w:rPr>
          <w:rFonts w:ascii="Times New Roman;Times;Serif" w:hAnsi="Times New Roman;Times;Serif"/>
          <w:b w:val="false"/>
          <w:i w:val="false"/>
          <w:caps w:val="false"/>
          <w:smallCaps w:val="false"/>
          <w:sz w:val="20"/>
        </w:rPr>
        <w:t>This Agreement constitutes the entire agreement and understanding of the Parties with respect to the subject matter of this Agreement, and supersedes all prior understandings and agreements, whether oral or written, between or among the Parties hereto with respect to the specific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NOTICES. </w:t>
      </w:r>
      <w:r>
        <w:rPr>
          <w:rFonts w:ascii="Times New Roman;Times;Serif" w:hAnsi="Times New Roman;Times;Serif"/>
          <w:b w:val="false"/>
          <w:i w:val="false"/>
          <w:caps w:val="false"/>
          <w:smallCaps w:val="false"/>
          <w:sz w:val="20"/>
        </w:rPr>
        <w:t>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address set forth below the signature lines of this Agreement, or at such other address as such Party may designate in writing to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GOVERNING LAW; JURISDICTION. </w:t>
      </w:r>
      <w:r>
        <w:rPr>
          <w:rFonts w:ascii="Times New Roman;Times;Serif" w:hAnsi="Times New Roman;Times;Serif"/>
          <w:b w:val="false"/>
          <w:i w:val="false"/>
          <w:caps w:val="false"/>
          <w:smallCaps w:val="false"/>
          <w:sz w:val="20"/>
        </w:rPr>
        <w:t>This Agreement will be governed by and construed in accordance with the laws of the State of Delaware, without giving effect to that body of laws pertaining to conflict of laws. Any claim, controversy, or dispute arising out of or relating to this Agreement or any of the transactions contemplated hereby shall be submitted to arbitration in New York City, New York before a single arbitrator of the American Arbitration Association’s International Centre for Disputes Resolution (“</w:t>
      </w:r>
      <w:r>
        <w:rPr>
          <w:rFonts w:ascii="Times New Roman;Times;Serif" w:hAnsi="Times New Roman;Times;Serif"/>
          <w:b/>
          <w:i w:val="false"/>
          <w:caps w:val="false"/>
          <w:smallCaps w:val="false"/>
          <w:sz w:val="20"/>
        </w:rPr>
        <w:t>ICDR</w:t>
      </w:r>
      <w:r>
        <w:rPr>
          <w:rFonts w:ascii="Times New Roman;Times;Serif" w:hAnsi="Times New Roman;Times;Serif"/>
          <w:b w:val="false"/>
          <w:i w:val="false"/>
          <w:caps w:val="false"/>
          <w:smallCaps w:val="false"/>
          <w:sz w:val="20"/>
        </w:rPr>
        <w:t>”) in accordance with its International Arbitration Rules. Such arbitrator shall be mutually agreed upon by the Parties; in the event that the Parties do not mutually agree to an arbitrator within forty-five (45) days of commencement of the arbitration, the Parties agree that the ICDR shall appoint the sole arbitrator using the ICDR list method. The language of the arbitration shall be English. If multiple arbitrations arise under this Agreement and any other agreement arising out of or related to the transactions contemplated in this Agreement, the subject matters of which are related by common questions of law and fact and which could result in inconsistent awards, then the arbitrations may be consolidated into a single arbitration upon request of a Party; provided that consolidation would not result in undue delay or prejudice to the Party affected by consolidation. The arbitrator shall fix and allocate the costs of the arbitration in its award. The award of the arbitrator shall be final and binding, and judgment upon the award may be entered in any federal court of the United States of America sitting in the State of Delaware, or, if no federal court of the United States of America sitting in the State of Delaware has jurisdiction over such matter, any other court of the State of Delaware. The Parties further agree, however, that any action solely seeking injunctive relief, specific performance or other equitable remedies pursuant to this Section ‎6 or otherwise shall be brought exclusively in the Court of Chancery of the State of Delaware (or, if the Court of Chancery of the State of Delaware declines to accept jurisdiction over a particular matter, any federal court of the United States of America sitting in the State of Delaware, or, if no federal court of the United States of America sitting in the State of Delaware has jurisdiction over such matter, any other court of the State of Delaware). Each Party hereby irrevocably submits to the exclusive jurisdiction of such courts solely for purposes of any such action for enforcement of an arbitral award obtained pursuant to this Section ‎6, injunctive relief, specific performance or other equitable remedies, and each Party hereby irrevocably waives, and agrees not to assert, by way of motion, as a defense, counterclaim or otherwise, in any such action: (i) any claim that it is not personally subject to the jurisdiction of the above-named courts for any reason; (ii) any claim that it or its property is exempt or immune from jurisdiction of any such court or from any legal process commenced in such courts; and (iii) any claim that any such action brought in any of the above-named courts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ACCEPTANCE. </w:t>
      </w:r>
      <w:r>
        <w:rPr>
          <w:rFonts w:ascii="Times New Roman;Times;Serif" w:hAnsi="Times New Roman;Times;Serif"/>
          <w:b w:val="false"/>
          <w:i w:val="false"/>
          <w:caps w:val="false"/>
          <w:smallCaps w:val="false"/>
          <w:sz w:val="20"/>
        </w:rPr>
        <w:t>By execution of this Agreement, Grantee (a) acknowledges that he or she has received a copy of the Merger Agreement and has read and understood the terms and provisions thereof to the extent relevant to this Agreement, (b) accepts the New Parent Option subject to all the terms and conditions of this Agreement, and (c) irrevocably and unconditionally releases, waives and forever discharges the Company and its officers, directors, employees, agents, successors and assigns from any and all claims, demands, actions, causes of action, damages, losses, costs and expenses of any kind or nature whatsoever, whether known or unknown, arising out of or relating to the original issuance and the cancellation and exchange of the Original Option and the issuance of the New Parent Option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FURTHER ASSURANCES. </w:t>
      </w:r>
      <w:r>
        <w:rPr>
          <w:rFonts w:ascii="Times New Roman;Times;Serif" w:hAnsi="Times New Roman;Times;Serif"/>
          <w:b w:val="false"/>
          <w:i w:val="false"/>
          <w:caps w:val="false"/>
          <w:smallCaps w:val="false"/>
          <w:sz w:val="20"/>
        </w:rPr>
        <w:t>The Parties agree to execute such further documents and instruments and to take such further actions as may be reasonably necessary to carry out the purposes and intent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NO THIRD-PARTY BENEFICIARIES. </w:t>
      </w:r>
      <w:r>
        <w:rPr>
          <w:rFonts w:ascii="Times New Roman;Times;Serif" w:hAnsi="Times New Roman;Times;Serif"/>
          <w:b w:val="false"/>
          <w:i w:val="false"/>
          <w:caps w:val="false"/>
          <w:smallCaps w:val="false"/>
          <w:sz w:val="20"/>
        </w:rPr>
        <w:t>Nothing in this Agreement, express or implied, is intended to or shall confer upon any Person other than the Parties and their respective successors and permitted assigns any rights, benefits, remedies, obligations or liabilities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TITLES AND HEADINGS. </w:t>
      </w:r>
      <w:r>
        <w:rPr>
          <w:rFonts w:ascii="Times New Roman;Times;Serif" w:hAnsi="Times New Roman;Times;Serif"/>
          <w:b w:val="false"/>
          <w:i w:val="false"/>
          <w:caps w:val="false"/>
          <w:smallCaps w:val="false"/>
          <w:sz w:val="20"/>
        </w:rPr>
        <w:t>The titles, captions and headings of this Agreement are included for ease of reference only and will be disregarded in interpreting or construing this Agreement. Unless otherwise specifically stated, all references herein to “sections”, “schedules” and “exhibits” will mean “sections”, “schedules” and “exhibits”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COUNTERPARTS. </w:t>
      </w:r>
      <w:r>
        <w:rPr>
          <w:rFonts w:ascii="Times New Roman;Times;Serif" w:hAnsi="Times New Roman;Times;Serif"/>
          <w:b w:val="false"/>
          <w:i w:val="false"/>
          <w:caps w:val="false"/>
          <w:smallCaps w:val="false"/>
          <w:sz w:val="20"/>
        </w:rPr>
        <w:t>This Agreement may be executed in any number of counterparts, each of which when so executed and delivered will be deemed an original, and all of which together will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AMENDMENT. </w:t>
      </w:r>
      <w:r>
        <w:rPr>
          <w:rFonts w:ascii="Times New Roman;Times;Serif" w:hAnsi="Times New Roman;Times;Serif"/>
          <w:b w:val="false"/>
          <w:i w:val="false"/>
          <w:caps w:val="false"/>
          <w:smallCaps w:val="false"/>
          <w:sz w:val="20"/>
        </w:rPr>
        <w:t>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SEVERABILITY. </w:t>
      </w:r>
      <w:r>
        <w:rPr>
          <w:rFonts w:ascii="Times New Roman;Times;Serif" w:hAnsi="Times New Roman;Times;Serif"/>
          <w:b w:val="false"/>
          <w:i w:val="false"/>
          <w:caps w:val="false"/>
          <w:smallCaps w:val="false"/>
          <w:sz w:val="20"/>
        </w:rPr>
        <w:t>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negotiate in good faith to amend or replace such invalid or unenforceable term or provision with a valid and enforceable term or provision that comes closest to expressing the intention and achieving the economic, business and other purposes of such invalid or unenforceable term or provision. If the Parties are unable to agree upon such amendment or replacement within thirty (30) days following such final judgment,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SUCCESSORS AND ASSIGNS. </w:t>
      </w:r>
      <w:r>
        <w:rPr>
          <w:rFonts w:ascii="Times New Roman;Times;Serif" w:hAnsi="Times New Roman;Times;Serif"/>
          <w:b w:val="false"/>
          <w:i w:val="false"/>
          <w:caps w:val="false"/>
          <w:smallCaps w:val="false"/>
          <w:sz w:val="20"/>
        </w:rPr>
        <w:t>This Agreement shall be binding upon and inure to the benefit of the Parties and their respective successors and permitted assigns. No Party may assign this Agreement or any of its rights or obligations hereunder without the prior written consent of each of the other Parties, and any attempted assignment without such consent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TERMINATION. </w:t>
      </w:r>
      <w:r>
        <w:rPr>
          <w:rFonts w:ascii="Times New Roman;Times;Serif" w:hAnsi="Times New Roman;Times;Serif"/>
          <w:b w:val="false"/>
          <w:i w:val="false"/>
          <w:caps w:val="false"/>
          <w:smallCaps w:val="false"/>
          <w:sz w:val="20"/>
        </w:rPr>
        <w:t>This Agreement is expressly conditioned upon the consummation of the Merger. In the event that the Merger Agreement is terminated in accordance with its terms and the Merger is not consummated, this Agreement shall automatically terminate and be of no further force or effect, without any action required on the part of any Party, and no Party shall have any liability or obligation to any other Party hereunder.</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have caused this Agreement to be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2075"/>
        <w:gridCol w:w="194"/>
      </w:tblGrid>
      <w:tr>
        <w:trPr/>
        <w:tc>
          <w:tcPr>
            <w:tcW w:w="75"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b/>
              </w:rPr>
            </w:pPr>
            <w:r>
              <w:rPr>
                <w:b/>
              </w:rPr>
              <w:t>SAIHEAT LIMITED</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By:</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Name:</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Title:</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Address:</w:t>
            </w:r>
          </w:p>
        </w:tc>
        <w:tc>
          <w:tcPr>
            <w:tcW w:w="194"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have caused this Agreement to be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2267"/>
        <w:gridCol w:w="212"/>
      </w:tblGrid>
      <w:tr>
        <w:trPr/>
        <w:tc>
          <w:tcPr>
            <w:tcW w:w="75"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left"/>
              <w:rPr>
                <w:b/>
              </w:rPr>
            </w:pPr>
            <w:r>
              <w:rPr>
                <w:b/>
              </w:rPr>
              <w:t>CANOPY WAVE INC.</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By:</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Name:</w:t>
            </w:r>
          </w:p>
        </w:tc>
        <w:tc>
          <w:tcPr>
            <w:tcW w:w="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Title:</w:t>
            </w:r>
          </w:p>
        </w:tc>
        <w:tc>
          <w:tcPr>
            <w:tcW w:w="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7" w:type="dxa"/>
            <w:tcBorders/>
            <w:vAlign w:val="center"/>
          </w:tcPr>
          <w:p>
            <w:pPr>
              <w:pStyle w:val="TableContents"/>
              <w:bidi w:val="0"/>
              <w:spacing w:before="0" w:after="283"/>
              <w:jc w:val="left"/>
              <w:rPr/>
            </w:pPr>
            <w:r>
              <w:rPr/>
              <w:t>Address:</w:t>
            </w:r>
          </w:p>
        </w:tc>
        <w:tc>
          <w:tcPr>
            <w:tcW w:w="212"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have caused this Agreement to be executed as of the date first above written.</w:t>
      </w:r>
    </w:p>
    <w:p>
      <w:pPr>
        <w:pStyle w:val="TextBody"/>
        <w:bidi w:val="0"/>
        <w:spacing w:before="0" w:after="0"/>
        <w:ind w:left="4680" w:right="0" w:hanging="0"/>
        <w:jc w:val="left"/>
        <w:rPr>
          <w:caps w:val="false"/>
          <w:smallCaps w:val="false"/>
        </w:rPr>
      </w:pPr>
      <w:r>
        <w:rPr>
          <w:caps w:val="false"/>
          <w:smallCaps w:val="false"/>
        </w:rPr>
        <w:t> </w:t>
      </w:r>
    </w:p>
    <w:tbl>
      <w:tblPr>
        <w:tblW w:w="1474" w:type="dxa"/>
        <w:jc w:val="left"/>
        <w:tblInd w:w="0" w:type="dxa"/>
        <w:tblLayout w:type="fixed"/>
        <w:tblCellMar>
          <w:top w:w="0" w:type="dxa"/>
          <w:left w:w="0" w:type="dxa"/>
          <w:bottom w:w="0" w:type="dxa"/>
          <w:right w:w="0" w:type="dxa"/>
        </w:tblCellMar>
      </w:tblPr>
      <w:tblGrid>
        <w:gridCol w:w="75"/>
        <w:gridCol w:w="1279"/>
        <w:gridCol w:w="120"/>
      </w:tblGrid>
      <w:tr>
        <w:trPr/>
        <w:tc>
          <w:tcPr>
            <w:tcW w:w="75"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b/>
              </w:rPr>
            </w:pPr>
            <w:r>
              <w:rPr>
                <w:b/>
              </w:rPr>
              <w:t>[GRANTEE]</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By:</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Name:</w:t>
            </w:r>
          </w:p>
        </w:tc>
        <w:tc>
          <w:tcPr>
            <w:tcW w:w="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Title:</w:t>
            </w:r>
          </w:p>
        </w:tc>
        <w:tc>
          <w:tcPr>
            <w:tcW w:w="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Address:</w:t>
            </w:r>
          </w:p>
        </w:tc>
        <w:tc>
          <w:tcPr>
            <w:tcW w:w="120" w:type="dxa"/>
            <w:tcBorders/>
            <w:vAlign w:val="center"/>
          </w:tcPr>
          <w:p>
            <w:pPr>
              <w:pStyle w:val="TableContents"/>
              <w:bidi w:val="0"/>
              <w:spacing w:before="0" w:after="283"/>
              <w:jc w:val="left"/>
              <w:rPr/>
            </w:pPr>
            <w:r>
              <w:rPr/>
              <w:t> </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 of New Parent Option</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10" w:type="dxa"/>
        <w:tblLayout w:type="fixed"/>
        <w:tblCellMar>
          <w:top w:w="28" w:type="dxa"/>
          <w:left w:w="108" w:type="dxa"/>
          <w:bottom w:w="28" w:type="dxa"/>
          <w:right w:w="108" w:type="dxa"/>
        </w:tblCellMar>
      </w:tblPr>
      <w:tblGrid>
        <w:gridCol w:w="8990"/>
        <w:gridCol w:w="605"/>
      </w:tblGrid>
      <w:tr>
        <w:trPr/>
        <w:tc>
          <w:tcPr>
            <w:tcW w:w="89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Parent Class A Ordinary Shares subject to the New Parent Option</w:t>
            </w:r>
          </w:p>
        </w:tc>
        <w:tc>
          <w:tcPr>
            <w:tcW w:w="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sz w:val="20"/>
              </w:rPr>
            </w:pPr>
            <w:r>
              <w:rPr>
                <w:sz w:val="20"/>
              </w:rPr>
              <w:t>[*]</w:t>
            </w:r>
          </w:p>
        </w:tc>
      </w:tr>
      <w:tr>
        <w:trPr/>
        <w:tc>
          <w:tcPr>
            <w:tcW w:w="89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Per share exercise price for the Parent Class A Ordinary Shares issuable upon exercise of the New Parent Option</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Omitted Option and 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Instruction 2 to Item 601 of Regulation S-K, the Registrant has omitted filing the Option and Exchange Agreements identified below because they are substantially identical in all material respects to the Form of Option and Exchange Agreement set forth above, differing only as to the parties thereto and the details set forth in this Schedule. The Registrant agrees to furnish supplementally a copy of any omitted Option and Exchange Agreement to the Securities and Exchange Commission upon request.</w:t>
      </w:r>
    </w:p>
    <w:p>
      <w:pPr>
        <w:pStyle w:val="TextBody"/>
        <w:bidi w:val="0"/>
        <w:spacing w:before="0" w:after="0"/>
        <w:ind w:left="0" w:right="0" w:hanging="0"/>
        <w:jc w:val="both"/>
        <w:rPr>
          <w:caps w:val="false"/>
          <w:smallCaps w:val="false"/>
        </w:rPr>
      </w:pPr>
      <w:r>
        <w:rPr>
          <w:caps w:val="false"/>
          <w:smallCaps w:val="false"/>
        </w:rPr>
        <w:t> </w:t>
      </w:r>
    </w:p>
    <w:tbl>
      <w:tblPr>
        <w:tblW w:w="7089" w:type="dxa"/>
        <w:jc w:val="left"/>
        <w:tblInd w:w="0" w:type="dxa"/>
        <w:tblLayout w:type="fixed"/>
        <w:tblCellMar>
          <w:top w:w="0" w:type="dxa"/>
          <w:left w:w="0" w:type="dxa"/>
          <w:bottom w:w="28" w:type="dxa"/>
          <w:right w:w="0" w:type="dxa"/>
        </w:tblCellMar>
      </w:tblPr>
      <w:tblGrid>
        <w:gridCol w:w="395"/>
        <w:gridCol w:w="60"/>
        <w:gridCol w:w="2420"/>
        <w:gridCol w:w="60"/>
        <w:gridCol w:w="1610"/>
        <w:gridCol w:w="60"/>
        <w:gridCol w:w="80"/>
        <w:gridCol w:w="1080"/>
        <w:gridCol w:w="60"/>
        <w:gridCol w:w="60"/>
        <w:gridCol w:w="78"/>
        <w:gridCol w:w="1051"/>
        <w:gridCol w:w="75"/>
      </w:tblGrid>
      <w:tr>
        <w:trPr/>
        <w:tc>
          <w:tcPr>
            <w:tcW w:w="395" w:type="dxa"/>
            <w:tcBorders>
              <w:bottom w:val="single" w:sz="12" w:space="0" w:color="000000"/>
            </w:tcBorders>
            <w:vAlign w:val="center"/>
          </w:tcPr>
          <w:p>
            <w:pPr>
              <w:pStyle w:val="TableContents"/>
              <w:bidi w:val="0"/>
              <w:spacing w:before="0" w:after="283"/>
              <w:jc w:val="both"/>
              <w:rPr>
                <w:b/>
              </w:rPr>
            </w:pPr>
            <w:r>
              <w:rPr>
                <w:b/>
              </w:rPr>
              <w:t>No.</w:t>
            </w:r>
          </w:p>
        </w:tc>
        <w:tc>
          <w:tcPr>
            <w:tcW w:w="60" w:type="dxa"/>
            <w:tcBorders/>
            <w:tcMar>
              <w:bottom w:w="0" w:type="dxa"/>
            </w:tcMar>
            <w:vAlign w:val="center"/>
          </w:tcPr>
          <w:p>
            <w:pPr>
              <w:pStyle w:val="TableContents"/>
              <w:bidi w:val="0"/>
              <w:spacing w:before="0" w:after="283"/>
              <w:jc w:val="left"/>
              <w:rPr/>
            </w:pPr>
            <w:r>
              <w:rPr/>
              <w:t> </w:t>
            </w:r>
          </w:p>
        </w:tc>
        <w:tc>
          <w:tcPr>
            <w:tcW w:w="2420" w:type="dxa"/>
            <w:tcBorders>
              <w:bottom w:val="single" w:sz="12" w:space="0" w:color="000000"/>
            </w:tcBorders>
            <w:vAlign w:val="center"/>
          </w:tcPr>
          <w:p>
            <w:pPr>
              <w:pStyle w:val="TableContents"/>
              <w:bidi w:val="0"/>
              <w:spacing w:before="0" w:after="283"/>
              <w:jc w:val="both"/>
              <w:rPr>
                <w:b/>
              </w:rPr>
            </w:pPr>
            <w:r>
              <w:rPr>
                <w:b/>
              </w:rPr>
              <w:t>Counterparty</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rPr>
            </w:pPr>
            <w:r>
              <w:rPr>
                <w:b/>
              </w:rPr>
              <w:t>Date</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Securities</w:t>
              <w:br/>
              <w:t>Subject to</w:t>
              <w:br/>
              <w:t>Option /</w:t>
              <w:br/>
              <w:t>Exchanged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Registrant</w:t>
              <w:br/>
              <w:t>Ordinary</w:t>
              <w:br/>
              <w:t>Shares</w:t>
              <w:br/>
              <w:t>Issuable</w:t>
            </w:r>
          </w:p>
        </w:tc>
        <w:tc>
          <w:tcPr>
            <w:tcW w:w="75" w:type="dxa"/>
            <w:tcBorders/>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both"/>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both"/>
              <w:rPr/>
            </w:pPr>
            <w:r>
              <w:rPr/>
              <w:t>Cynthia Xinyi 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August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15,603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both"/>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both"/>
              <w:rPr/>
            </w:pPr>
            <w:r>
              <w:rPr/>
              <w:t>Hai Vodinh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pPr>
            <w:r>
              <w:rPr/>
              <w:t>August 10,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37,447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283"/>
              <w:jc w:val="both"/>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both"/>
              <w:rPr/>
            </w:pPr>
            <w:r>
              <w:rPr/>
              <w:t>Andrew 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pPr>
            <w:r>
              <w:rPr/>
              <w:t>August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15,603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jc w:val="both"/>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both"/>
              <w:rPr/>
            </w:pPr>
            <w:r>
              <w:rPr/>
              <w:t>Yachal (Yongqian) Chen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pPr>
            <w:r>
              <w:rPr/>
              <w:t>August 10,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375,000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117,022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other respects, each of the foregoing agreements is substantially identical to the Form of Option and Exchange Agreement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130601ex10-2.htm"/>
      <w:bookmarkStart w:id="7" w:name="ksea030130601ex102"/>
      <w:bookmarkEnd w:id="6"/>
      <w:bookmarkEnd w:id="7"/>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PORTIONS OF THE EXHIBIT THAT ARE NOT MATERIAL AND IS THE TYPE OF INFORMATION THAT THE REGISTRANT TREATS AS PRIVATE OR CONFIDENTIAL HAVE BEEN REDACTED PURSUANT TO ITEM </w:t>
      </w:r>
      <w:r>
        <w:rPr>
          <w:rFonts w:ascii="Times New Roman;Times;Serif" w:hAnsi="Times New Roman;Times;Serif"/>
          <w:b w:val="false"/>
          <w:i/>
          <w:caps w:val="false"/>
          <w:smallCaps w:val="false"/>
          <w:sz w:val="20"/>
        </w:rPr>
        <w:t>601(b)(10</w:t>
      </w:r>
      <w:r>
        <w:rPr>
          <w:rFonts w:ascii="Times New Roman;Times;Serif" w:hAnsi="Times New Roman;Times;Serif"/>
          <w:b w:val="false"/>
          <w:i w:val="false"/>
          <w:caps w:val="false"/>
          <w:smallCaps w:val="false"/>
          <w:sz w:val="20"/>
        </w:rPr>
        <w:t>)(iv) OF REGULATION S-K. [****] INDICATES THAT INFORMATION HAS BEEN REDACTED.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SHARE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August 10, 2026, by and among SAIHEAT Limited, an exempted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each of the Persons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 (each,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Investors are executing and delivering this Agreement in reliance upon the exemption from securities registration afforded by Section 4(a)(2) of the Securities Act and Rule 506(b) of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sell to each Investor, and each Investor desires to purchase from the Company, severally and not jointly, a number of the Company’s Class A ordinary shares, par value $0.0015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set forth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upon the terms and subject to the conditions stated in this Agreement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the Company, Saiheat Merger Sub, Inc. (the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 Delaware corporation and wholly-owned subsidiary of the Company, and Canopy Wave Inc., a Delaware corporation (“</w:t>
      </w:r>
      <w:r>
        <w:rPr>
          <w:rFonts w:ascii="Times New Roman;Times;Serif" w:hAnsi="Times New Roman;Times;Serif"/>
          <w:b/>
          <w:i w:val="false"/>
          <w:caps w:val="false"/>
          <w:smallCaps w:val="false"/>
          <w:sz w:val="20"/>
        </w:rPr>
        <w:t>Canopy</w:t>
      </w:r>
      <w:r>
        <w:rPr>
          <w:rFonts w:ascii="Times New Roman;Times;Serif" w:hAnsi="Times New Roman;Times;Serif"/>
          <w:b w:val="false"/>
          <w:i w:val="false"/>
          <w:caps w:val="false"/>
          <w:smallCaps w:val="false"/>
          <w:sz w:val="20"/>
        </w:rPr>
        <w:t>”), have executed an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Canopy will merge with and into Merger Sub, with Merger Sub surviving as a wholly-owned subsidiary of the Company, in consideration of the issuance by the Company of certain Ordinary Shares to the equityholders of Canopy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at or prior to the Closing, the parties hereto will execute and deliver, among other things, a Registration Rights Agreement,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pursuant to which the Company will agree to provide certain registration rights in respect of the Shares under the Securities Act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representations, warranties and covenants herein contained, the Company and each Investor, severally and not jointly, agree as follows: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Accredited Investor Questionnaire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and other than a day on which banks are required or authorized to close in the Cayman Islands, Singapore or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local or foreign governmental or quasi-governmental authority or municipality or subdivision thereof or any authority, department, commission, board, bureau, agency, court, tribunal or instrumentality, notified body or any applicable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ICDR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have the meanings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event, circumstance, development, condition, occurrence or effect that, individually or in the aggregate, (i) was, is, or would reasonably be expected to be, materially adverse to the business, financial condition, assets or results of operations of the Company and its subsidiaries, taken as a whole, or (ii) materially delays or materially impairs the ability of the Company to comply, or prevents the Company from complying, with its obligations under the Transaction Agreements, or with respect to the Closing, or would reasonably be expected to do so, provided that in no event shall any of the following, alone or taken as a whole, be deemed to constitute a Material Adverse Effect, nor shall any of the following be taken into account in determining whether a Material Adverse Effect has occurred or will occur: (a) any change generally affecting the economy, financial markets or political, economic or regulatory conditions in the United States or any other geographic region in which the Company or any of its subsidiaries conducts business; (b) general financial, credit or capital market conditions, including interest rates or exchange rates, or any changes therein; (c) any change that generally affects industries in which the Company and its subsidiaries conduct business; (d) earthquakes, hurricanes, tsunamis, tornadoes, floods, mudslides, fires or other natural disasters, weather conditions, global pandemics, epidemics or similar health emergency, and other force majeure events in the United States or any other location; (e) national or international political or social conditions (or changes in such conditions), whether or not pursuant to the declaration of a national emergency or war, or the occurrence of any military or terrorist attack; (f) changes in laws, rules or regulations after the date of this Agreement; (g) changes in accounting rules, requirements or principles or any interpretation thereof; (h) the announcement, pendency or consummation of the transactions contemplated by the Transaction Agreements; and (i)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except in the cases of (a), (b), (c), (d), (e), and (f), to the extent that the Company and its subsidiaries, taken as a whole, are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memorandum of association, articles of association, certificate or articles of incorporation, bylaws or other organizational or charter documents of the Company, as currently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means (a) the Company’s most recently filed Annual Report on Form 20-F and (b) all reports on Form 6-K furnished by the Company following the end of the most recent fiscal year for which an Annual Report on Form 20-F has been filed and prior to the execution of this Agreement, together in each case with any documents incorporated by reference therein or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U.S.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share capital,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Nasdaq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and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with respect to the Ordinary Shares, Transhare Corporation or such other financial institution that provides transfer agent services as the Company may engage from time to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to each Investor, and each Investor, severally and not jointly, agrees to purchase from the Company, the number of Shares, for the aggregate purchase price, set forth opposite such Investor’s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purchase and sale of the Shares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shall occur remotely via the exchange of documents and signatures on the first Business Day on which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 are satisfied or waived or at such other date or time as agreed to by the Company and the Investors in writing. At the Closing, the Shares shall be issued and registered in the name of each Investor, or in such nominee name as designated by such Investor, representing the number of Shares to be purchased by such Investor at such Closing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in each case against payment to the Company of the purchase price therefor in full, by wire transfer to the Company of immediately available funds, at or prior to the Closing, in accordance with wire instructions provided by the Company to the Investors no less than one (1) Business Day prior to the Closing. On the Closing Date, the Company will cause the Transfer Agent to issue the Shares in book-entry form, free and clear of all restrictive and other legends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Except as set forth in the SEC Reports (excluding in each case any disclosure set forth in the “Risk Factors” or “Forward-Looking Statements” sections of the SEC Reports, and any other disclosures included therein to the extent they are predictive or forward-looking in nature), the Company hereby represents and warrants to each of the Investors that the statements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true and correct as of the date of this Agreement and as of the Closing Date (except for the representations and warranties that speak as of a specific date, which shall be made as of such date).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The Company is an exempted company duly organized, validly existing and in good standing under the laws of the Cayman Islands,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so qualify would not reasonably be expected to have a Material Adverse Effect. Each of the Company’s subsidiaries is (i) duly incorporated or organized, as the case may be, and validly existing and in good standing (to the extent such concept exists in such subsidiary’s home jurisdiction) under the laws of the jurisdiction of its incorporation or organization, as the case may be, and has the requisite power and authority to carry on its business as now conducted and to own or lease its properties and (ii) qualified to do business as a foreign entity and in good standing (to the extent such concept exists in such jurisdiction) in each jurisdiction in which the character of its properties or the nature of its business requires such qualification, except in the case of clause (ii) as would not reasonably be expected to have a Material Adverse Effect.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Company’s disclosure of its authorized, issued and outstanding share capital in the SEC Reports containing such disclosure was accurate as of the date indicated in such SEC Reports. All of the issued and outstanding Ordinary Shares have been duly authorized and validly issued and are fully paid and non-assessable, and will not be subject to any call for further capital. None of the outstanding share capital of the Company was issued in violation of any preemptive or other similar rights of any securityholder of the Company which have not been waived, and all such share capital was issued in compliance in all material respects with applicable state and federal securities law and any rights of third parties. Except as set forth in the SEC Reports and except as contemplated by the Transaction Agreements and the Merger Agreement, there are no outstanding rights (including, without limitation, pre-emptive rights),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such subsidiary, any such convertible or exchangeable securities or any such rights, warrants or options; the share capital of the Company conforms in all material respects to the description thereof contained in the SEC Reports; and all the outstanding share capital or other equity interests of each subsidiary owned, directly or indirectly, by the Company have been duly and validly authorized and issued, are fully paid and non-assessable (except, in the case of any foreign subsidiary, for directors’ qualifying shares), are not subject to any call for further capital and are owned directly or indirectly by the Company, free and clear of any lien, charge, encumbrance, security interest, restriction on voting or transfer or any other claim of any third party. There are no outstanding securities or instruments of the Company or any of its subsidiaries that contain any redemption or similar provisions, and there are no contracts, commitments, understandings or arrangements by which the Company or any of its subsidiaries is or may become bound to redeem a security of the Company or such subsidiary. There are no stockholders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all requisite corporate power and authority to enter into the Transaction Agreements and to carry out and perform its obligations under the terms of the Transaction Agreements, including the issuance and sale of the Shares. All corporate action on the part of the Company, its officers, directors and shareholders necessary for the authorization of the Shares, the authorization, execution, delivery and performance of the Transaction Agreements and the consummation of the transactions contemplated herein, including the issuance and sale of the Shares, has been taken. This Agreement has been duly executed and delivered by the Company and, assuming the due authorization, execution and delivery by each Investor of this Agreement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and the holder of the Shares shall be entitled to all rights accorded to a holder of Ordinary Shares. Subject to the accuracy of the representations and warranties made by the Investors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offer and sale of the Shares to the Investors is and will be in compliance with applicable exemptions from (i) the registration and prospectus delivery requirements of the Securities Act and (ii) the registration and qualification requirements of applicable securities laws of the states of the United States.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Agreements by the Company, the issuance and sale of the Shares and the consummation of the other transactions contemplated by the Transaction Agreements will not (i) conflict with or violate any provision of the Organizational Documents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w:t>
      </w:r>
      <w:r>
        <w:rPr>
          <w:rFonts w:ascii="Times New Roman;Times;Serif" w:hAnsi="Times New Roman;Times;Serif"/>
          <w:b w:val="false"/>
          <w:i w:val="false"/>
          <w:caps w:val="false"/>
          <w:smallCaps w:val="false"/>
          <w:sz w:val="20"/>
          <w:shd w:fill="FFFFFF" w:val="clear"/>
        </w:rPr>
        <w:t>or (iii) result in a violation of any law, rule, regulation, order, judgment, injunction, decree or other restriction of any court or Governmental Authority to which the Company or any of its subsidiaries is subject and the rules and regulations of any self-regulatory organization to which the Company or its securities are subject, or by which any property or asset of the Company or any of its subsidiaries is bound or affected, </w:t>
      </w:r>
      <w:r>
        <w:rPr>
          <w:rFonts w:ascii="Times New Roman;Times;Serif" w:hAnsi="Times New Roman;Times;Serif"/>
          <w:b w:val="false"/>
          <w:i w:val="false"/>
          <w:caps w:val="false"/>
          <w:smallCaps w:val="false"/>
          <w:sz w:val="20"/>
        </w:rPr>
        <w:t>except, in the case of clauses (ii) and (iii), as would not, individually or in the aggregate, reasonably be expected to have a Material Adverse Effect.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Assuming the accuracy of the representations and warranties of each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no consent, approval, authorization, filing with or order of or registration with, any court or Governmental Authority or any other Person is required in connection with the authorization, execution or delivery by the Company of the Transaction Agreements, the issuance and sale of the Shares and the performance by the Company of its other obligations under the Transaction Agreements, except (i) as have been or will be obtained or made under the Securities Act or the Exchange Act, (ii) the filing of any requisite notices and/or application(s) to the Nasdaq for the issuance and sale of the Shares and the listing of the Shares for trading thereon in the time and manner required thereby, (iii) customary post-closing filings with the SEC or pursuant to state securities laws in connection with the offer and sale of the Shares by the Company in the manner contemplated herein, which will be filed on a timely basis, (iv) the filing of any registration statement required to be filed by the Registration Rights Agreement, or (v)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has filed all forms, statements, certifications, reports and documents required to be filed by it with the SEC under Section 13 and 15(d) of the Exchange Act for the one year preceding the Closing Date on a timely basis or has received a valid extension of such time of filing and has filed any such forms, statements, certifications, reports and documents prior to the expiration of any such extension and (ii) is in compliance with General Instruction I.A.2 of Form F-3.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included in the SEC Reports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trade payables incurred in the ordinary course of business, consistent with past practices since the date of such Financial Statements, (ii) liabilities incurred in connection with the transactions contemplated by the Transaction Agreements or the Merger Agreement, or (iii) liabilities not required under GAAP to be reflected in the Financial Statements.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Since December 31, 2025, (i) the Company has conducted its business only in the ordinary course of business and there have been no material transactions entered into by the Company or any of its subsidiaries (except for the execution and performance of the Transaction Agreements and the Merger Agreement and the discussions, negotiations and transactions related thereto); (ii) no material change to any material contract or arrangement by which the Company or any of its subsidiaries is bound or to which any of its assets or properties is subject has been entered into that has not been disclosed in the SEC Reports; and (iii) there has not been any other event or condition of any character that has had or would reasonably be expected to have a Material Adverse Effect.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arbitration, claim, investigation, charge, complaint or inquiry (each,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xml:space="preserve">”)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Governmental Authority and binding upon the Company or any of its subsidiaries that have had or would reasonably be expected to have a Material Adverse Effect. </w:t>
      </w:r>
      <w:r>
        <w:rPr>
          <w:rFonts w:ascii="Times New Roman;Times;Serif" w:hAnsi="Times New Roman;Times;Serif"/>
          <w:b w:val="false"/>
          <w:i w:val="false"/>
          <w:caps w:val="false"/>
          <w:smallCaps w:val="false"/>
          <w:sz w:val="20"/>
          <w:shd w:fill="FFFFFF" w:val="clear"/>
        </w:rPr>
        <w:t>Neither the Company nor any subsidiary, nor to the knowledge of the Company, any director or officer of the Company or any subsidiary, is, or has been during the last ten (10) years, the subject of any Action involving a claim of violation of or liability under federal, state or foreign securities laws or a claim of breach of fiduciary duty.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Compliance with Law; Permits</w:t>
      </w:r>
      <w:r>
        <w:rPr>
          <w:rFonts w:ascii="Times New Roman;Times;Serif" w:hAnsi="Times New Roman;Times;Serif"/>
          <w:b w:val="false"/>
          <w:i w:val="false"/>
          <w:caps w:val="false"/>
          <w:smallCaps w:val="false"/>
          <w:sz w:val="20"/>
        </w:rPr>
        <w:t>. Neither the Company nor any of its subsidiaries is in default under or violation of, or has received any notices of defaults or violations with respect to, any laws, statutes, ordinances, rules or regulations of any court or Governmental Authority,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from such federal, state, local or foreign Governmental Authority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of its subsidiaries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or have rights to use, all inventions, patent applications, patents, trademarks, trade names, service names, service marks, copyrights, trade secrets, know-how (including unpatented and/or unpatentable proprietary or confidential information, systems or procedures) and other intellectual property as described in the SEC Reports necessary for, or used in the conduct of their respective businesses (including as described in the SEC Reports)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is pending, or, to the Company’s knowledge, is threatened: (x) challenging the Company’s or its subsidiaries’ rights in or to any Intellectual Property; (y) challenging the validity, enforceability or scope of any Intellectual Property; or (z)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commercially reasonable steps to protect, maintain and safeguard their Intellectual Property.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The Company and its subsidiaries are in compliance with all applicable federal, state, local and foreign laws, rules and regulations regarding employment and employment practices, terms and conditions of employment and wages and hours,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At all times since inception, the Company has been and continues to be classified as a corporation for U.S. federal income tax purposes.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December 31, 2025, any written notice or other communication (in writing or otherwise), whether from a Governmental Authority or other Person, that alleges that the Company or any of its subsidiaries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(x) since December 31, 2025, it has not received any written notice or other communication relating to property owned or leased at any time by the Company, whether from a Governmental Authority, or other Person, that alleges that such current or prior owner or the Company or any of its subsidiaries is not in compliance with or violated any Environmental Law relating to such property and (y) the Company has no material liability under any Environmental Law.</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December 31,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Nasdaq Capital Market</w:t>
      </w:r>
      <w:r>
        <w:rPr>
          <w:rFonts w:ascii="Times New Roman;Times;Serif" w:hAnsi="Times New Roman;Times;Serif"/>
          <w:b w:val="false"/>
          <w:i w:val="false"/>
          <w:caps w:val="false"/>
          <w:smallCaps w:val="false"/>
          <w:sz w:val="20"/>
        </w:rPr>
        <w:t>. The issued and outstanding Ordinary Shares are registered pursuant to Section 12(b) of the Exchange Act and are listed for trading on the Nasdaq Capital Market under the symbol “SAIH”. The Company is in compliance with all listing requirements of Nasdaq applicable to the Company. There is no suit, action, proceeding or investigation pending or, to the knowledge of the Company, threatened against the Company by Nasdaq or the SEC, respectively, to prohibit or terminate the listing of the Ordinary Shares on the Nasdaq Capital Market or to deregister the Ordinary Shares under the Exchange Act. The Company has taken no action as of the date of this Agreement that is designed to terminate the registration of the Ordinary Shares under the Exchange Act.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is, and since December 31, 2025 has been, in compliance in all material respects with all applicable requirements of the Sarbanes-Oxley Act of 2002 and applicable rules and regulations promulgated by the SEC thereunder.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Accounting Controls and Disclosure Controls and Procedures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Price Stabilization of Ordinary Shares</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Ordinary Shares to facilitate the sale or resale of the Shares.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immediately after receipt of payment for the Shares will not be, an “investment company” within the meaning of the U.S. Investment Company Act of 1940, as amended.</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General Solicitation; No Integration or Aggregation</w:t>
      </w:r>
      <w:r>
        <w:rPr>
          <w:rFonts w:ascii="Times New Roman;Times;Serif" w:hAnsi="Times New Roman;Times;Serif"/>
          <w:b w:val="false"/>
          <w:i w:val="false"/>
          <w:caps w:val="false"/>
          <w:smallCaps w:val="false"/>
          <w:sz w:val="20"/>
        </w:rPr>
        <w:t xml:space="preserve">. Neither the Company nor any other Person authorized by the Company to act on its behalf has engaged in a general solicitation or general advertising (within the meaning of Regulation D of the Securities Act) of investors with respect to offers or sales of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Shares pursuant to this Agreement for purposes of the Securities Act </w:t>
      </w:r>
      <w:r>
        <w:rPr>
          <w:rFonts w:ascii="Times New Roman;Times;Serif" w:hAnsi="Times New Roman;Times;Serif"/>
          <w:b w:val="false"/>
          <w:i w:val="false"/>
          <w:caps w:val="false"/>
          <w:smallCaps w:val="false"/>
          <w:sz w:val="20"/>
          <w:shd w:fill="FFFFFF" w:val="clear"/>
        </w:rPr>
        <w:t>or (ii) aggregated with prior offerings by the Company for the purposes of Nasdaq rules</w:t>
      </w:r>
      <w:r>
        <w:rPr>
          <w:rFonts w:ascii="Times New Roman;Times;Serif" w:hAnsi="Times New Roman;Times;Serif"/>
          <w:b w:val="false"/>
          <w:i w:val="false"/>
          <w:caps w:val="false"/>
          <w:smallCaps w:val="false"/>
          <w:sz w:val="20"/>
        </w:rPr>
        <w:t xml:space="preserve">. Assuming the accuracy of the representations and warranties of the Investors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506(b) of Regulation D promulgated thereunder for the exemption from registration for the transactions contemplated hereby.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Reliance by the Investors</w:t>
      </w:r>
      <w:r>
        <w:rPr>
          <w:rFonts w:ascii="Times New Roman;Times;Serif" w:hAnsi="Times New Roman;Times;Serif"/>
          <w:b w:val="false"/>
          <w:i w:val="false"/>
          <w:caps w:val="false"/>
          <w:smallCaps w:val="false"/>
          <w:sz w:val="20"/>
        </w:rPr>
        <w:t xml:space="preserve">. The Company has a reasonable basis for making each of the representations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Neither the Company nor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 (each, an “</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rPr>
        <w:t>Issuer Covered Persons</w:t>
      </w:r>
      <w:r>
        <w:rPr>
          <w:rFonts w:ascii="Times New Roman;Times;Serif" w:hAnsi="Times New Roman;Times;Serif"/>
          <w:b w:val="false"/>
          <w:i w:val="false"/>
          <w:caps w:val="false"/>
          <w:smallCaps w:val="false"/>
          <w:sz w:val="20"/>
        </w:rPr>
        <w:t>”) is subject to the disqualification provisions of Rule 506(d)(1)(i-viii) of Regulation D under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Shares.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There are no agreements or understandings between the Company and any Investor with respect to the transactions contemplated by the Transaction Agreements other than as specified in the Transaction Agreements.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Anti-Bribery and Anti-Money Laundering Laws</w:t>
      </w:r>
      <w:r>
        <w:rPr>
          <w:rFonts w:ascii="Times New Roman;Times;Serif" w:hAnsi="Times New Roman;Times;Serif"/>
          <w:b w:val="false"/>
          <w:i w:val="false"/>
          <w:caps w:val="false"/>
          <w:smallCaps w:val="false"/>
          <w:sz w:val="20"/>
        </w:rPr>
        <w:t>. Each of the Company, its subsidiaries and, to the knowledge of the Company, any of their respective officers, directors, supervisors, managers, agents, or employees are, and at all times have been, in compliance in all material respects with, and the Company’s participation in the transactions contemplated hereby will not violate: (i)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(ii)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Company’s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except, in each case, which, individually or in the aggregate, have not had and would not reasonably be expected to have a Material Adverse Effect.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of Personal Data, including without limitation HIPAA, the EU General Data Protection Regulation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To the Company’s knowledge, no relationship, direct or indirect, exists between or among the Company or any of its subsidiaries, on the one hand, and the directors, officers, shareholders, customers or suppliers of the Company, on the other hand, that is required to be described in the SEC Reports that is not so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Foreign Private Issuer</w:t>
      </w:r>
      <w:r>
        <w:rPr>
          <w:rFonts w:ascii="Times New Roman;Times;Serif" w:hAnsi="Times New Roman;Times;Serif"/>
          <w:b w:val="false"/>
          <w:i w:val="false"/>
          <w:caps w:val="false"/>
          <w:smallCaps w:val="false"/>
          <w:sz w:val="20"/>
        </w:rPr>
        <w:t>. The Company is a “foreign private issuer” within the meaning of Rule 405 under the Securities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Each Investor</w:t>
      </w:r>
      <w:r>
        <w:rPr>
          <w:rFonts w:ascii="Times New Roman;Times;Serif" w:hAnsi="Times New Roman;Times;Serif"/>
          <w:b w:val="false"/>
          <w:i w:val="false"/>
          <w:caps w:val="false"/>
          <w:smallCaps w:val="false"/>
          <w:sz w:val="20"/>
        </w:rPr>
        <w:t xml:space="preserve">. Each Investor, severally for itself and not jointly with any other Investor, represents and warrants to the Company that the statements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and correct as of the date of this Agreement and the Closing Date: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Capacity</w:t>
      </w:r>
      <w:r>
        <w:rPr>
          <w:rFonts w:ascii="Times New Roman;Times;Serif" w:hAnsi="Times New Roman;Times;Serif"/>
          <w:b w:val="false"/>
          <w:i w:val="false"/>
          <w:caps w:val="false"/>
          <w:smallCaps w:val="false"/>
          <w:sz w:val="20"/>
        </w:rPr>
        <w:t>. The Investor, if an entity, is duly organized, validly existing and in good standing under the laws of the jurisdiction of its organization and has the requisite power and authority to own, lease and operate its properties and to carry on its business as now conducted. The Investor, if a natural person, is of sound mind, has the legal capacity to enter into this Agreement, has entered into this Agreement on his or her own will, and understands the nature of the obligations to be assumed by him or her under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Investor, if an entity, has all requisite corporate or similar power and authority to enter into this Agreement and the Registration Rights Agreement to which it will be a party and to carry out and perform its obligations hereunder and thereunder. If applicable, the execution and delivery of the Transaction Agreements to which such Investor is a party, and the performance by such Investor thereunder have been duly authorized by all necessary corporate or similar action on the part of such Investor. This Agreement has been duly executed by such Investor, and when delivered by such Investor in accordance with the terms hereof, and assuming this Agreement constitutes the legal, valid,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Agreements by the Investor, the purchase of the Shares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(if such Investor is an entity),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properties or assets, except, in the case of clause (ii), as would not, individually or in the aggregate, reasonably be expected to materially delay or hinder the ability of such Investor to perform its obligations under the Transaction Agreements.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xml:space="preserve">. The Investor’s residence (if an individual) or office in which its investment decision with respect to the Shares was made are located at the address immediately below the Investor’s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except as otherwise communicated by such Investor to the Company.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The Investor has not retained, utilized or been represented by any broker or finder in connection with the transactions contemplated by this Agreement whose fees the Company would be required to pay.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hereby represents and warrants that, as of the date of this Agreement, it (i) if an entity, is a “qualified institutional buyer” (as defined in Rule 144A(a) under the Securities Act) or an “accredited investor” as that term is defined in Rule 501(a) under Regulation D promulgated pursuant to the Securities Act; or (ii) if an individual, is an “accredited investor” as that term is defined in Rule 501(a) of Regulation D promulgated pursuant to the Securities Act and has such knowledge and experience in financial and business matters as to be able to protect its own interests in connection with an investment in the Shares. The Investor further represents and warrants that (x) it is capable of evaluating the merits and risk of such investment, and, if an entity, (y) either (A) it has not been organized for the purpose of acquiring the Shares or (B) as determined under Rule 501(a)(8) of Regulation D promulgated pursuant to the Securities Act, each equity owner of the Investor is an “accredited investor”. The Investor understands and agrees that the offering and sale of the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has completed and delivered (or, prior to the Closing, will complete and deliver) to the Company an Accredited Investor Questionnaire and such other information and documentation as the Company or its verification agent reasonably requests to verify the Investor’s accredited investor status in accordance with Rule 506(b) of Regulation D promulgated pursuant to the Securities Act. The Investor understands that the Company will rely on the representations in this Agreement and in the Accredited Investor Questionnaire in determining such status.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The Investor is purchasing the Shares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portion of such Shares in compliance with applicable federal and state securities laws. Notwithstanding the foregoing, if the Investor is purchasing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Shares to or through any person or entity. The Investor understands that the Shares must be held indefinitely unless such Shares are resold pursuant to a registration statement under the Securities Act or an exemption from registration is available. Nothing contained herein shall be deemed a representation or warranty by the Investor to hold the Shares for any period of time.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Investment Experience; Ability to Protect Its Own Interests and Bear Economic Risks</w:t>
      </w:r>
      <w:r>
        <w:rPr>
          <w:rFonts w:ascii="Times New Roman;Times;Serif" w:hAnsi="Times New Roman;Times;Serif"/>
          <w:b w:val="false"/>
          <w:i w:val="false"/>
          <w:caps w:val="false"/>
          <w:smallCaps w:val="false"/>
          <w:sz w:val="20"/>
        </w:rPr>
        <w:t>. The Investor acknowledges that it can bear the economic risk and complete loss of its investment in the Shares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Shares. The Investor acknowledges that the Investor is aware that there are substantial risks incident to the purchase and ownership of the Shares, including those set forth in the Company’s filings with the SEC. Alone, or together with its own professional advisor(s), the Investor has adequately analyzed and fully considered the risks of an investment in the Shares and determined that the Shares are a suitable investment for the Investor. The Investor is, at this time and in the foreseeable future, able to afford the loss of the Investor’s entire investment in the Shares and the Investor acknowledges specifically that a possibility of total loss exists.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The Investor understands that nothing in the Transaction Agreements or any other materials presented by or on behalf of the Company to the Investor in connection with the purchase of the Shares constitutes legal, tax or investment advice. The Investor has consulted such legal, tax and investment advisors as it, in the Investor’s sole discretion, has deemed necessary or appropriate in connection with its purchase of the Shares.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Shares Not Registered; Legends</w:t>
      </w:r>
      <w:r>
        <w:rPr>
          <w:rFonts w:ascii="Times New Roman;Times;Serif" w:hAnsi="Times New Roman;Times;Serif"/>
          <w:b w:val="false"/>
          <w:i w:val="false"/>
          <w:caps w:val="false"/>
          <w:smallCaps w:val="false"/>
          <w:sz w:val="20"/>
        </w:rPr>
        <w:t>. The Investor acknowledges and agrees that the Shares are being offered in a transaction not involving any public offering within the meaning of the Securities Act, and the Investor understands that the Shares have not been registered under the Securities Act, by reason of their issuance by the Company in a transaction exempt from the registration requirements of the Securities Act, and that the Shares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Shares. The Investor acknowledges that no federal or state agency has passed upon or endorsed the merits of the offering of the Shares or made any findings or determination as to the fairness of this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any certificates or book entry notations evidencing the Shares may bear one or more legends in substantially the following form and substance: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Shares may contain a legend regarding affiliate status of the Investor, if applicable.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acknowledges and agrees that such Investor is purchasing the Shares directly from the Company. Such Investor became aware of this offering of the Shares directly from the Company as a result of a pre-existing, substantive relationship with the Company. The Shares were offered to Investor solely by direct contact between Investor and the Company. Investor did not become aware of this offering of the Shares, nor were the Shares offered to Investor, by any other means, and none of the Company and its representatives acted as investment advisor, broker or dealer to Investor. The Investor is not purchasing the Shares as a result of any general or public solicitation or general advertising, or publicly disseminated advertisement, article, notice or other communication regarding the Shares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 making its decision to purchase the Shares,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Shares as the Investor and the Investor’s professional advisor(s), if any, have deemed necessary to make an investment decision with respect to the Shares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Trading Activities</w:t>
      </w:r>
      <w:r>
        <w:rPr>
          <w:rFonts w:ascii="Times New Roman;Times;Serif" w:hAnsi="Times New Roman;Times;Serif"/>
          <w:b w:val="false"/>
          <w:i w:val="false"/>
          <w:caps w:val="false"/>
          <w:smallCaps w:val="false"/>
          <w:sz w:val="20"/>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Shares covered by this Agreement.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To the extent the Investor is one of the covered persons identified in Rule 506(d)(1), such Investor represents that no Disqualification Event is applicable to the Investor or any of its Rule 506(d) Related Parties (as defined below), except, if applicable, for a Disqualification Event as to which Rule 506(d)(2)(ii) or (iii) or (d)(3) is applicable. For purposes of this Section ‎4.14, “</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means a person or entity that is a beneficial owner of the Investor’s securities for purposes of Rule 506(d) of the Securities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Each of the parties acknowledges that the other parties will rely on the acknowledgments, understandings, agreements, representations and warranties contained in this Agreement. Prior to the Closing, each Investor, on the one hand, and the Company, on the other hand, agrees to promptly notify the Company or the Investors, respectively, if any of the representations and warranties of such party set forth in this Agreement are no longer accurate.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commercially reasonable efforts to maintain the listing and trading of its Ordinary Shares on the Nasdaq Capital Market and, in accordance therewith, will use reasonable best efforts to comply in all material respects with the Company’s reporting, filing and other obligations under the rules and regulations of Nasdaq. The Company agrees to maintain the eligibility of the Ordinary Shares for electronic transfer through the Depository Trust Company or another established clearing corporation, including by timely payment of fees to the Depository Trust Company or such other established clearing corporation in connection with such electronic transfer.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to the Investors, or that would be integrated with the offer or sale of the Shares for purposes of the rules and regulations of Nasdaq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sale, assignment, transfer or other disposition of the Shares by an Investor pursuant to Rule 144 or pursuant to any other exemption under the Securities Act such that the purchaser acquires freely tradable securities and upon compliance by such Investor with the requirements of this Agreement, if requested by such Investor by notice to the Company, the Company shall request the Transfer Agent to remove any restrictive legends related to the book entry account holding such securities and make a new, unlegended entry for such book entry securities sold or disposed of without restrictive legends as soon as reasonably practicable following any such request therefor from such Investor, provided that the Company has timely received from such Investor customary representations and other documentation reasonably acceptable to the Company in connection therewith. All fees and costs incurred by the Company associated with the removal of the restrictive legend(s) shall be the sole responsibility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Shares (i) have been sold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and as soon as reasonably practicable following any request therefor from an Investor accompanied by such customary and reasonably acceptable documentation referred to above, (x) deliver to the Transfer Agent irrevocable instructions that the Transfer Agent shall make a new, unlegended entry for such book entry securities, and (y)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Until the time that the Investors no longer own Shares, the Company covenants to use commercially reasonable efforts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 and to otherwise take such actions as may be necessary in order to permit the resale of the Shares pursuant to Rule 144 under the Securities Act.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Indemnification of Investors</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from and after the Closing, the Company will indemnify and hold each Investor and its directors, officers, stockholders, members, partners, employees and agents, each Person who controls such Investor (within the meaning of Section 15 of the Securities Act and Section 20 of the Exchange Act), and the directors, officers, stockholders, agents, members, partners or employees of such controlling persons (each, a “</w:t>
      </w:r>
      <w:r>
        <w:rPr>
          <w:rFonts w:ascii="Times New Roman;Times;Serif" w:hAnsi="Times New Roman;Times;Serif"/>
          <w:b/>
          <w:i w:val="false"/>
          <w:caps w:val="false"/>
          <w:smallCaps w:val="false"/>
          <w:sz w:val="20"/>
        </w:rPr>
        <w:t>Investor Party</w:t>
      </w:r>
      <w:r>
        <w:rPr>
          <w:rFonts w:ascii="Times New Roman;Times;Serif" w:hAnsi="Times New Roman;Times;Serif"/>
          <w:b w:val="false"/>
          <w:i w:val="false"/>
          <w:caps w:val="false"/>
          <w:smallCaps w:val="false"/>
          <w:sz w:val="20"/>
        </w:rPr>
        <w:t xml:space="preserve">”) harmless from any and all losses, liabilities, obligations, claims, damages, costs and expenses, including all judgments, amounts paid in settlements, court costs and reasonable and documented attorneys’ fees and costs of investigation but excluding any incidental, consequential, special or indirect, exemplary, punitive or reputational losses or diminution in value (except to the extent such damages are included in any third-party claim in connection with an indemnification claim hereunder), that any such Investor Party has suffered or incurred as a result of any breach of any of the representations, warranties, covenants or agreements made by the Company in this Agreement. If any action shall be brought against any Investor Party in respect of which indemnity may be sought pursuant to this Agreement, such Investor Party shall promptly notify the Company in writing, and the Company shall have the right to assume the defense thereof with counsel of its own choosing reasonably acceptable to such Investor Party. Any Investor Party shall have the right to employ separate counsel in any such action and participate in the defense thereof, but the fees and expenses of such counsel shall be at the expense of such Investor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Investor Party, in which case the Company shall be responsible for the reasonable fees and expenses of no more than one such separate counsel. The Company will not be liable to any Investor Party under this Agreement (y) for any settlement by an Investor Party effected without the Company’s prior written consent, which shall not be unreasonably withheld or delayed; or (z) to the extent, but only to the extent that a loss, claim, damage or liability is attributable to any Investor Party’s breach of any of the representations, warranties, covenants or agreements made by such Investor Party in this Agreement. The indemnification required by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are incurred; provided that, if the Investor Party is determined by final non-appealable judgment of a court of competent jurisdiction to be not entitled to indemnification, the Investor Party shall promptly reimburse the Company for the funds that were advanced. Notwithstanding anything to the contrary in this Agreement, the maximum aggregate liability of the Company under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with respect to each Investor and its Investor Parties collectively shall not exceed an amount equal to such Investor’s purchase price actually received by the Company. For the avoidance of doubt, the parties hereby agree and acknowledge that the survival period set forth in Section 8.14 is a contractual statute of limitations and any claim brought by any party pursuant to this Section 5.5 must be brought or filed prior to the expiration of the applicable survival period set forth in Section 8.14.</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agrees to timely file a Form D with respect to the Shares as required under Regulation D, selecting Rule 506(b) as the applicable exemption claimed, and to provide a copy thereof, promptly upon request of an Investor. The Company shall take such action as the Company shall reasonably determine is necessary in order to obtain an exemption for, or to qualify the Shares for, sale to the Investors at the Closing under applicable securities or “Blue Sky” laws of the states of the United States, and shall provide evidence of such actions promptly upon request of any Investor.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The Company will not take any action, enter into any agreement or make any commitment that would conflict or interfere in any material respect with the Company’s obligations to the Investors under the Transaction Agreements.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Accredited Investor Verification</w:t>
      </w:r>
      <w:r>
        <w:rPr>
          <w:rFonts w:ascii="Times New Roman;Times;Serif" w:hAnsi="Times New Roman;Times;Serif"/>
          <w:b w:val="false"/>
          <w:i w:val="false"/>
          <w:caps w:val="false"/>
          <w:smallCaps w:val="false"/>
          <w:sz w:val="20"/>
        </w:rPr>
        <w:t xml:space="preserve">. Each Investor shall, promptly following the execution of this Agreement (and in any event prior to the Closing), deliver to the Company a completed and duly executed accredited investor questionnaire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Accredited Investor Questionnaire</w:t>
      </w:r>
      <w:r>
        <w:rPr>
          <w:rFonts w:ascii="Times New Roman;Times;Serif" w:hAnsi="Times New Roman;Times;Serif"/>
          <w:b w:val="false"/>
          <w:i w:val="false"/>
          <w:caps w:val="false"/>
          <w:smallCaps w:val="false"/>
          <w:sz w:val="20"/>
        </w:rPr>
        <w:t>”), accurately setting forth, among other things, the specific category or categories under Rule 501(a) of Regulation D promulgated pursuant to the Securities Act under which such Investor qualifies as an accredited investor and, if such Investor is an entity that was formed for the purpose of acquiring the Shares or that is relying on Rule 501(a)(8) of Regulation D, the identity and accredited investor status of each equity owner of such Investor. Each Investor shall cooperate with the Company and provide such additional information, documentation and third-party verification letters as the Company may reasonably request in connection with the Company’s verification of such Investor’s accredited investor status pursuant to Rule 506(b) of Regulation 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Obligation of the Investors</w:t>
      </w:r>
      <w:r>
        <w:rPr>
          <w:rFonts w:ascii="Times New Roman;Times;Serif" w:hAnsi="Times New Roman;Times;Serif"/>
          <w:b w:val="false"/>
          <w:i w:val="false"/>
          <w:caps w:val="false"/>
          <w:smallCaps w:val="false"/>
          <w:sz w:val="20"/>
        </w:rPr>
        <w:t>. The several obligations of each Investor to consummate the transactions to be consummated at the Closing, and to purchase and pay for the Shares being purchased by it at the Closing pursuant to this Agreement, are subject to the satisfaction or waiver in writing of the following conditions precedent: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in all material respects the obligations and conditions herein required to be performed or observed by the Company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by the Transaction Agreements.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shall have obtained any and all consents, permits, approvals, registrations and waivers necessary for the consummation of the purchase and sale of the Shares, all of which shall be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have delivered to the Transfer Agent irrevocable instructions to deliver, on an expedited basis, to each Investor evidence of the issuance of the Shares hereunder as held in book-entry form by the Transfer Agent and registered in the name of each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of this Agreement, no event or series of events shall have occurred that has had or would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An authorized officer of the Company shall have executed, and delivered to such Investor at the Closing Date, a certificate certifying that the conditions specified in </w:t>
      </w:r>
      <w:r>
        <w:rPr>
          <w:rFonts w:ascii="Times New Roman;Times;Serif" w:hAnsi="Times New Roman;Times;Serif"/>
          <w:b w:val="false"/>
          <w:i w:val="false"/>
          <w:caps w:val="false"/>
          <w:smallCaps w:val="false"/>
          <w:sz w:val="20"/>
          <w:u w:val="single"/>
        </w:rPr>
        <w:t>Sections ‎6.1(a) (Representations and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‎6.1(b) (Performance)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‎6.1(c) (No Injunction)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‎6.1(d) (Consents)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‎6.1(e) (Transfer 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‎6.1(f) (Adverse Changes)</w:t>
      </w:r>
      <w:r>
        <w:rPr>
          <w:rFonts w:ascii="Times New Roman;Times;Serif" w:hAnsi="Times New Roman;Times;Serif"/>
          <w:b w:val="false"/>
          <w:i w:val="false"/>
          <w:caps w:val="false"/>
          <w:smallCaps w:val="false"/>
          <w:sz w:val="20"/>
        </w:rPr>
        <w:t xml:space="preserve">, and ‎6.1(l) </w:t>
      </w:r>
      <w:r>
        <w:rPr>
          <w:rFonts w:ascii="Times New Roman;Times;Serif" w:hAnsi="Times New Roman;Times;Serif"/>
          <w:b w:val="false"/>
          <w:i w:val="false"/>
          <w:caps w:val="false"/>
          <w:smallCaps w:val="false"/>
          <w:sz w:val="20"/>
          <w:u w:val="single"/>
        </w:rPr>
        <w:t>(Listing Requirements)</w:t>
      </w:r>
      <w:r>
        <w:rPr>
          <w:rFonts w:ascii="Times New Roman;Times;Serif" w:hAnsi="Times New Roman;Times;Serif"/>
          <w:b w:val="false"/>
          <w:i w:val="false"/>
          <w:caps w:val="false"/>
          <w:smallCaps w:val="false"/>
          <w:sz w:val="20"/>
        </w:rPr>
        <w:t xml:space="preserve"> of this Agreement have been fulfilled.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The Secretary of the Company shall have executed, and delivered to such Investor at the Closing Date, a certificate certifying the Organizational Documents and resolutions of the Company’s Board of Directors (or an authorized committee thereof) approving this Agreement and the Registration Rights Agreement, the transactions contemplated by this Agreement and the issuance of the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The Company shall have delivered an opinion of counsel duly licensed in the Cayman Islands, containing customary legal opinions with respect to existence, good standing, due authorization, enforceability and the absence of conflicts with respect to the Company’s organizational documents, and with respect to valid issuance, due authorization and non-assessability of the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The Company shall have executed and delivered the Registration Rights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to such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Wire Instructions</w:t>
      </w:r>
      <w:r>
        <w:rPr>
          <w:rFonts w:ascii="Times New Roman;Times;Serif" w:hAnsi="Times New Roman;Times;Serif"/>
          <w:b w:val="false"/>
          <w:i w:val="false"/>
          <w:caps w:val="false"/>
          <w:smallCaps w:val="false"/>
          <w:sz w:val="20"/>
        </w:rPr>
        <w:t>. The Company shall have delivered to such Investor the Company’s wire instructions for payment of the purchase price for the Shares to be purchased by such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Listing Requirements</w:t>
      </w:r>
      <w:r>
        <w:rPr>
          <w:rFonts w:ascii="Times New Roman;Times;Serif" w:hAnsi="Times New Roman;Times;Serif"/>
          <w:b w:val="false"/>
          <w:i w:val="false"/>
          <w:caps w:val="false"/>
          <w:smallCaps w:val="false"/>
          <w:sz w:val="20"/>
        </w:rPr>
        <w:t>. No stop order or suspension of trading shall have been imposed by Nasdaq, the SEC or any other governmental or regulatory body with respect to public trading in the Ordinary Shares. The Ordinary Shares shall be listed on the Nasdaq Capital Market and shall not have been suspended, as of the Closing Date, by the SEC or Nasdaq from trading thereon nor shall suspension by the SEC or Nasdaq have been threatened, as of the Closing Date, in writing by the SEC or Nasdaq; and the Company shall have filed with Nasdaq a Notification Form: Listing of Additional Shares for the listing of the Shares and Nasdaq shall have raised no objection to such notice and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Closing under Merger Agreement</w:t>
      </w:r>
      <w:r>
        <w:rPr>
          <w:rFonts w:ascii="Times New Roman;Times;Serif" w:hAnsi="Times New Roman;Times;Serif"/>
          <w:b w:val="false"/>
          <w:i w:val="false"/>
          <w:caps w:val="false"/>
          <w:smallCaps w:val="false"/>
          <w:sz w:val="20"/>
        </w:rPr>
        <w:t>. The consummation of the Business Combination pursuant to the Merger Agreement shall have occurred prior to the Closing.</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the Obligation of the Company</w:t>
      </w:r>
      <w:r>
        <w:rPr>
          <w:rFonts w:ascii="Times New Roman;Times;Serif" w:hAnsi="Times New Roman;Times;Serif"/>
          <w:b w:val="false"/>
          <w:i w:val="false"/>
          <w:caps w:val="false"/>
          <w:smallCaps w:val="false"/>
          <w:sz w:val="20"/>
        </w:rPr>
        <w:t>. The obligation of the Company to consummate the transactions to be consummated at the Closing, and to issue and sell to each Investor the Shares to be purchased by it at the Closing pursuant to this Agreement, is subject to the satisfaction or waiver in writing of the following conditions precedent: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each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hereto shall be true and correct in all material respects as of the date of this Agreement and as of the Closing Date, as though made on and as of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Each Investor shall have performed or complied in all material respects with all obligations and conditions herein required to be performed or observed by such Investor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by the Transaction Agreements.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Each Investor shall have executed and delivered the Registration Rights Agreement to the Company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The Company shall have received payment, by wire transfer of immediately available funds, in the full amount of the purchase price for the number of Shares being purchased by such Investor at the Closing as set forth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Closing under Merger Agreement</w:t>
      </w:r>
      <w:r>
        <w:rPr>
          <w:rFonts w:ascii="Times New Roman;Times;Serif" w:hAnsi="Times New Roman;Times;Serif"/>
          <w:b w:val="false"/>
          <w:i w:val="false"/>
          <w:caps w:val="false"/>
          <w:smallCaps w:val="false"/>
          <w:sz w:val="20"/>
        </w:rPr>
        <w:t>. The consummation of the Business Combination pursuant to the Merger Agreement shall have occurred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Accredited Investor Verification</w:t>
      </w:r>
      <w:r>
        <w:rPr>
          <w:rFonts w:ascii="Times New Roman;Times;Serif" w:hAnsi="Times New Roman;Times;Serif"/>
          <w:b w:val="false"/>
          <w:i w:val="false"/>
          <w:caps w:val="false"/>
          <w:smallCaps w:val="false"/>
          <w:sz w:val="20"/>
        </w:rPr>
        <w:t xml:space="preserve">. Such Investor shall have delivered to the Company a completed and duly executed Accredited Investor Questionnaire and any additional documentation or third-party verification letters reasonably requested by the Company pursuant to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and the Company shall have received the information and documentation contemplated by Section 5.9 with respect to such Investor’s accredited investor status in accordance with Rule 506(b) of Regulation D promulgated pursuant to the Securities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the one hand, and the Investors, on the other hand, to effect the Closing shall terminate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mutual written consent of the Company and the Investors prior to the Closing;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Automatically upon a termination of the Merger Agreement in accordance with the terms thereof or the occurrence of the End Date (as defined in the Merger Agreement) after giving effect to any extension thereof in accordance with the terms of the Merger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In the event of termination of this Agreement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the Investors by the Company.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Public Statements or Releases</w:t>
      </w:r>
      <w:r>
        <w:rPr>
          <w:rFonts w:ascii="Times New Roman;Times;Serif" w:hAnsi="Times New Roman;Times;Serif"/>
          <w:b w:val="false"/>
          <w:i w:val="false"/>
          <w:caps w:val="false"/>
          <w:smallCaps w:val="false"/>
          <w:sz w:val="20"/>
        </w:rPr>
        <w:t>. The Company shall, by 9:01 a.m. (New York City time) on the Trading Day immediately following the Closing Date, issue a press release and/or file a Form 6-K disclosing the material terms of the transactions contemplated hereby. In addition, the Company will make such other filings and notices in the manner and time required by the SEC or Nasdaq. The Company shall not publicly disclose the name of the Investors or any Affiliate in press releases or public announcements concerning the transactions contemplated hereby (other than a registration statement and any exhibits to filings made in respect of the transactions contemplated hereby in accordance with filing requirements under the Exchange Act), without providing such Investor a reasonable opportunity to review and comment on such press releases and public announcements. Subject to the foregoing, neither the Company nor any Investor shall issue any press release or otherwise make any public statement with respect to the transactions contemplated by the Transaction Agreements without the prior consent of the Company, with respect to any such press release of any Investor, or without the prior consent of each Investor, with respect to any such press release of the Company, which consent shall not unreasonably be withheld or delayed, except if such disclosure is required by law, rules or regulations, in which case the disclosing party shall promptly provide the other party with prior notice of such public statement or communication.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earlier of (x) confirmation of receipt or (y) the open of business on recipient’s next Business Day, in each case, provided no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addressed as follows:</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w:t>
        <w:br/>
        <w:t>No. 266A South Bridge Road, #02-01</w:t>
        <w:br/>
        <w:t>Singapore, 058815</w:t>
        <w:br/>
        <w:t>Singapore</w:t>
        <w:br/>
        <w:t>Email: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any Investor, at its address or e-mail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address as subsequently modified by written notice given in accordance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Governing Law; Dispute Resolution;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regardless of the Laws that might otherwise govern under applicable principles of conflicts of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claim, controversy, or dispute arising out of or relating to this Agreement or any of the transactions contemplated hereby shall be submitted to arbitration in Borough of Manhattan, County of New York, State of New York before a single arbitrator of the American Arbitration Association’s International Centre for Disputes Resolution (“</w:t>
      </w:r>
      <w:r>
        <w:rPr>
          <w:rFonts w:ascii="Times New Roman;Times;Serif" w:hAnsi="Times New Roman;Times;Serif"/>
          <w:b/>
          <w:i w:val="false"/>
          <w:caps w:val="false"/>
          <w:smallCaps w:val="false"/>
          <w:sz w:val="20"/>
        </w:rPr>
        <w:t>ICDR</w:t>
      </w:r>
      <w:r>
        <w:rPr>
          <w:rFonts w:ascii="Times New Roman;Times;Serif" w:hAnsi="Times New Roman;Times;Serif"/>
          <w:b w:val="false"/>
          <w:i w:val="false"/>
          <w:caps w:val="false"/>
          <w:smallCaps w:val="false"/>
          <w:sz w:val="20"/>
        </w:rPr>
        <w:t>”) in accordance with its International Arbitration Rules. Such arbitrator shall be mutually agreed upon by the parties and shall have expertise in Delaware corporate law; in the event that the parties do not mutually agree to an arbitrator within forty-five (45) days of commencement of the arbitration, the parties agree that the ICDR shall appoint the sole arbitrator using the ICDR list method. The language of the arbitration shall be English. If multiple arbitrations arise under this Agreement and any other agreement arising out of or related to the transactions contemplated in this Agreement, the subject matters of which are related by common questions of law and fact and which could result in inconsistent awards, then the arbitrations may be consolidated into a single arbitration upon request of a party; provided that consolidation would not result in undue delay or prejudice to the party affected by consolidation. The arbitrator shall fix and allocate the costs of the arbitration in its award. The award of the arbitrator shall be final and binding, and judgment upon the award may be entered in any federal court of the United States of America sitting in the State of Delaware, or, if no federal court of the United States of America sitting in the State of Delaware has jurisdiction over such matter, any other court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further agree, however, that any action solely seeking injunctive relief, specific performance or other equitable remedies or otherwise shall be brought exclusively in the Court of Chancery of the State of Delaware (or, if the Court of Chancery of the State of Delaware declines to accept jurisdiction over a particular matter, any federal court of the United States of America sitting in the State of Delaware, or, if no federal court of the United States of America sitting in the State of Delaware has jurisdiction over such matter, any other court of the State of Delaware). Each party hereby irrevocably submits to the exclusive jurisdiction of such courts solely for purposes of any such action for enforcement of an arbitral award obtained pursuant to Section 8.4(b), injunctive relief, specific performance or other equitable remedies, and each party hereby irrevocably waives, and agrees not to assert, by way of motion, as a defense, counterclaim or otherwise, in any such action: (i) any claim that it is not personally subject to the jurisdiction of the above-named courts for any reason; (ii) any claim that it or its property is exempt or immune from jurisdiction of any such court or from any legal process commenced in such courts; and (iii) any claim that any such action brought in any of the above-named courts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agree that irreparable damage for which monetary damages would not be an adequate remedy would occur in the event that any party fails to perform any provision of this Agreement in accordance with its terms. Accordingly, each party shall be entitled to an injunction, specific performance and other equitable relief to prevent breaches of this Agreement and to enforce specifically the terms hereof, in addition to any other remedy available at law or in equity. No party shall oppose the granting of such relief on the basis that the other party has an adequate remedy at law. No bond or other security shall be required in connection with any such order or injunction.</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Shares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Shares to the Investors.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acquiring in the aggregate at least a majority of all Shares sold to Investors pursuant hereto, in the case of the Company, provided that an Investor may, without the prior consent of the Company, assign its rights to purchase the Shares hereunder to any of its Affiliates or to any other investment funds or accounts managed or advised by the investment manager who acts on behalf of such Investor (provided each such assignee (A) agrees to be bound by the terms of this Agreement as an Investor hereunder and makes the same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(B) delivers to the Company a completed and duly executed Accredited Investor Questionnaire and such additional information, documentation and third-party verification letters as the Company may reasonably request to verify such assignee’s status as an accredited investor in accordance with Rule 506(b) of Regulation D promulgated pursuant to the Securities Act).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request from the Investors such reasonable and customary additional information as the Company may deem necessary to evaluate the eligibility of the Investors to acquire the Shares, and the Investors shall reasonably cooperate in providing such information as may reasonably be requested to the extent readily available; provided, that the Company agrees to keep any such information provided by the Investors confidential, except (i) as required by the federal securities laws, rules or regulations and (ii) to the extent such disclosure is required by other laws, rules or regulations, at the request of the staff of the SEC or regulatory agency or under the regulations of Nasdaq. Each Investor acknowledges that the Company may file a copy of this Agreement and the Registration Rights Agreement with the SEC as exhibits to a periodic report or a registration statement of the Company.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Independent Nature of Investors’ Obligations and Rights</w:t>
      </w:r>
      <w:r>
        <w:rPr>
          <w:rFonts w:ascii="Times New Roman;Times;Serif" w:hAnsi="Times New Roman;Times;Serif"/>
          <w:b w:val="false"/>
          <w:i w:val="false"/>
          <w:caps w:val="false"/>
          <w:smallCaps w:val="false"/>
          <w:sz w:val="20"/>
        </w:rPr>
        <w:t>. The obligations of each Investor under this Agreement are several and not joint with the obligations of any other Investor, and no Investor shall be responsible in any way for the performance or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provided, however, that, notwithstanding the foregoing, the Investor Parties are intended third-party beneficiaries of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Registration Rights Agreement (including all schedules and exhibits hereto and thereto) constitute the entire agreement between the parties hereto respecting the subject matter of this Agreement and supersede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acquiring in the aggregate at least a majority of all Shares sold to Investors pursuant hereto.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made by each party hereto contained in this Agreement shall survive the Closing and the delivery of the Shares in accordance with their respective terms. The covenants and agreements of each party hereto contained in this Agreement shall survive the Closing until fully discharged in accordance with their respective terms. Each Investor shall be responsible only for its own representations, warranties, agreements and covenants hereunder.</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Arm’s Length Negotiations</w:t>
      </w:r>
      <w:r>
        <w:rPr>
          <w:rFonts w:ascii="Times New Roman;Times;Serif" w:hAnsi="Times New Roman;Times;Serif"/>
          <w:b w:val="false"/>
          <w:i w:val="false"/>
          <w:caps w:val="false"/>
          <w:smallCaps w:val="false"/>
          <w:sz w:val="20"/>
        </w:rPr>
        <w:t>. For the avoidance of doubt, the parties hereto acknowledge and confirm that the terms and conditions of the Shares were determined as a result of arm’s-length negotiations.</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references to currency herein shall be deemed to refer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650"/>
        <w:gridCol w:w="236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SAIHEAT Limited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60" w:type="dxa"/>
            <w:tcBorders>
              <w:bottom w:val="single" w:sz="12" w:space="0" w:color="000000"/>
            </w:tcBorders>
            <w:tcMar>
              <w:bottom w:w="28" w:type="dxa"/>
            </w:tcMar>
            <w:vAlign w:val="center"/>
          </w:tcPr>
          <w:p>
            <w:pPr>
              <w:pStyle w:val="TableContents"/>
              <w:bidi w:val="0"/>
              <w:spacing w:before="0" w:after="283"/>
              <w:jc w:val="left"/>
              <w:rPr/>
            </w:pPr>
            <w:r>
              <w:rPr/>
              <w:t>/s/ Jianwei Li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60" w:type="dxa"/>
            <w:tcBorders/>
            <w:vAlign w:val="center"/>
          </w:tcPr>
          <w:p>
            <w:pPr>
              <w:pStyle w:val="TableContents"/>
              <w:bidi w:val="0"/>
              <w:spacing w:before="0" w:after="283"/>
              <w:jc w:val="left"/>
              <w:rPr/>
            </w:pPr>
            <w:r>
              <w:rPr/>
              <w:t> </w:t>
            </w:r>
            <w:r>
              <w:rPr/>
              <w:t>Jianwei Li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60" w:type="dxa"/>
            <w:tcBorders/>
            <w:vAlign w:val="center"/>
          </w:tcPr>
          <w:p>
            <w:pPr>
              <w:pStyle w:val="TableContents"/>
              <w:bidi w:val="0"/>
              <w:spacing w:before="0" w:after="283"/>
              <w:jc w:val="left"/>
              <w:rPr/>
            </w:pPr>
            <w:r>
              <w:rPr/>
              <w:t> </w:t>
            </w:r>
            <w:r>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3259" w:type="dxa"/>
        <w:jc w:val="left"/>
        <w:tblInd w:w="0" w:type="dxa"/>
        <w:tblLayout w:type="fixed"/>
        <w:tblCellMar>
          <w:top w:w="0" w:type="dxa"/>
          <w:left w:w="0" w:type="dxa"/>
          <w:bottom w:w="0" w:type="dxa"/>
          <w:right w:w="0" w:type="dxa"/>
        </w:tblCellMar>
      </w:tblPr>
      <w:tblGrid>
        <w:gridCol w:w="75"/>
        <w:gridCol w:w="770"/>
        <w:gridCol w:w="2414"/>
      </w:tblGrid>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b/>
              </w:rPr>
            </w:pPr>
            <w:r>
              <w:rPr>
                <w:b/>
              </w:rPr>
              <w:t>INVESTOR: White Fiber, Inc.</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4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414" w:type="dxa"/>
            <w:tcBorders>
              <w:bottom w:val="single" w:sz="12" w:space="0" w:color="000000"/>
            </w:tcBorders>
            <w:tcMar>
              <w:bottom w:w="28" w:type="dxa"/>
            </w:tcMar>
            <w:vAlign w:val="center"/>
          </w:tcPr>
          <w:p>
            <w:pPr>
              <w:pStyle w:val="TableContents"/>
              <w:bidi w:val="0"/>
              <w:spacing w:before="0" w:after="283"/>
              <w:jc w:val="left"/>
              <w:rPr/>
            </w:pPr>
            <w:r>
              <w:rPr/>
              <w:t>/s/ Justin Zhu</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Name: </w:t>
            </w:r>
          </w:p>
        </w:tc>
        <w:tc>
          <w:tcPr>
            <w:tcW w:w="2414" w:type="dxa"/>
            <w:tcBorders/>
            <w:vAlign w:val="center"/>
          </w:tcPr>
          <w:p>
            <w:pPr>
              <w:pStyle w:val="TableContents"/>
              <w:bidi w:val="0"/>
              <w:spacing w:before="0" w:after="283"/>
              <w:jc w:val="left"/>
              <w:rPr/>
            </w:pPr>
            <w:r>
              <w:rPr/>
              <w:t>Justin Zhu</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414"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tbl>
      <w:tblPr>
        <w:tblW w:w="5860" w:type="dxa"/>
        <w:jc w:val="left"/>
        <w:tblInd w:w="0" w:type="dxa"/>
        <w:tblLayout w:type="fixed"/>
        <w:tblCellMar>
          <w:top w:w="0" w:type="dxa"/>
          <w:left w:w="0" w:type="dxa"/>
          <w:bottom w:w="0" w:type="dxa"/>
          <w:right w:w="0" w:type="dxa"/>
        </w:tblCellMar>
      </w:tblPr>
      <w:tblGrid>
        <w:gridCol w:w="75"/>
        <w:gridCol w:w="860"/>
        <w:gridCol w:w="492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4925" w:type="dxa"/>
            <w:tcBorders/>
            <w:vAlign w:val="center"/>
          </w:tcPr>
          <w:p>
            <w:pPr>
              <w:pStyle w:val="TableContents"/>
              <w:bidi w:val="0"/>
              <w:spacing w:before="0" w:after="283"/>
              <w:jc w:val="left"/>
              <w:rPr/>
            </w:pPr>
            <w:r>
              <w:rPr/>
              <w:t>31 Hudson Yards, Floor 11, New York, NY 10001</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4925" w:type="dxa"/>
            <w:tcBorders/>
            <w:vAlign w:val="center"/>
          </w:tcPr>
          <w:p>
            <w:pPr>
              <w:pStyle w:val="TableContents"/>
              <w:bidi w:val="0"/>
              <w:spacing w:before="0" w:after="283"/>
              <w:jc w:val="left"/>
              <w:rPr/>
            </w:pP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75"/>
        <w:gridCol w:w="1164"/>
        <w:gridCol w:w="2935"/>
      </w:tblGrid>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b/>
              </w:rPr>
            </w:pPr>
            <w:r>
              <w:rPr>
                <w:b/>
              </w:rPr>
              <w:t>INVESTOR: HorizonAI Ventures LLC</w:t>
            </w:r>
          </w:p>
        </w:tc>
      </w:tr>
      <w:tr>
        <w:trPr/>
        <w:tc>
          <w:tcPr>
            <w:tcW w:w="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29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By:</w:t>
            </w:r>
          </w:p>
        </w:tc>
        <w:tc>
          <w:tcPr>
            <w:tcW w:w="2935" w:type="dxa"/>
            <w:tcBorders>
              <w:bottom w:val="single" w:sz="12" w:space="0" w:color="000000"/>
            </w:tcBorders>
            <w:tcMar>
              <w:bottom w:w="28" w:type="dxa"/>
            </w:tcMar>
            <w:vAlign w:val="center"/>
          </w:tcPr>
          <w:p>
            <w:pPr>
              <w:pStyle w:val="TableContents"/>
              <w:bidi w:val="0"/>
              <w:spacing w:before="0" w:after="283"/>
              <w:jc w:val="left"/>
              <w:rPr/>
            </w:pPr>
            <w:r>
              <w:rPr/>
              <w:t>/s/ Christina Wang</w:t>
            </w:r>
          </w:p>
        </w:tc>
      </w:tr>
      <w:tr>
        <w:trPr/>
        <w:tc>
          <w:tcPr>
            <w:tcW w:w="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Name: </w:t>
            </w:r>
          </w:p>
        </w:tc>
        <w:tc>
          <w:tcPr>
            <w:tcW w:w="2935" w:type="dxa"/>
            <w:tcBorders/>
            <w:vAlign w:val="center"/>
          </w:tcPr>
          <w:p>
            <w:pPr>
              <w:pStyle w:val="TableContents"/>
              <w:bidi w:val="0"/>
              <w:spacing w:before="0" w:after="283"/>
              <w:jc w:val="left"/>
              <w:rPr/>
            </w:pPr>
            <w:r>
              <w:rPr/>
              <w:t>Christina Wang</w:t>
            </w:r>
          </w:p>
        </w:tc>
      </w:tr>
      <w:tr>
        <w:trPr/>
        <w:tc>
          <w:tcPr>
            <w:tcW w:w="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Title:</w:t>
            </w:r>
          </w:p>
        </w:tc>
        <w:tc>
          <w:tcPr>
            <w:tcW w:w="2935" w:type="dxa"/>
            <w:tcBorders/>
            <w:vAlign w:val="center"/>
          </w:tcPr>
          <w:p>
            <w:pPr>
              <w:pStyle w:val="TableContents"/>
              <w:bidi w:val="0"/>
              <w:spacing w:before="0" w:after="283"/>
              <w:jc w:val="left"/>
              <w:rPr/>
            </w:pPr>
            <w:r>
              <w:rPr/>
              <w:t>Director</w:t>
            </w:r>
          </w:p>
        </w:tc>
      </w:tr>
    </w:tbl>
    <w:p>
      <w:pPr>
        <w:pStyle w:val="TextBody"/>
        <w:bidi w:val="0"/>
        <w:spacing w:before="0" w:after="283"/>
        <w:jc w:val="left"/>
        <w:rPr/>
      </w:pPr>
      <w:r>
        <w:rPr/>
        <w:t> </w:t>
      </w:r>
    </w:p>
    <w:tbl>
      <w:tblPr>
        <w:tblW w:w="6085" w:type="dxa"/>
        <w:jc w:val="left"/>
        <w:tblInd w:w="0" w:type="dxa"/>
        <w:tblLayout w:type="fixed"/>
        <w:tblCellMar>
          <w:top w:w="0" w:type="dxa"/>
          <w:left w:w="0" w:type="dxa"/>
          <w:bottom w:w="0" w:type="dxa"/>
          <w:right w:w="0" w:type="dxa"/>
        </w:tblCellMar>
      </w:tblPr>
      <w:tblGrid>
        <w:gridCol w:w="75"/>
        <w:gridCol w:w="860"/>
        <w:gridCol w:w="515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5150" w:type="dxa"/>
            <w:tcBorders/>
            <w:vAlign w:val="center"/>
          </w:tcPr>
          <w:p>
            <w:pPr>
              <w:pStyle w:val="TableContents"/>
              <w:bidi w:val="0"/>
              <w:spacing w:before="0" w:after="283"/>
              <w:jc w:val="left"/>
              <w:rPr/>
            </w:pPr>
            <w:r>
              <w:rPr/>
              <w:t>3009 Pasadena FWY STE#140, Pasadena, TX 77503</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5150" w:type="dxa"/>
            <w:tcBorders/>
            <w:vAlign w:val="center"/>
          </w:tcPr>
          <w:p>
            <w:pPr>
              <w:pStyle w:val="TableContents"/>
              <w:bidi w:val="0"/>
              <w:spacing w:before="0" w:after="283"/>
              <w:jc w:val="left"/>
              <w:rPr/>
            </w:pP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1175"/>
        <w:gridCol w:w="2639"/>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b/>
              </w:rPr>
            </w:pPr>
            <w:r>
              <w:rPr>
                <w:b/>
              </w:rPr>
              <w:t>INVESTOR: Infinity 8 Capital, LLC</w:t>
            </w:r>
          </w:p>
        </w:tc>
      </w:tr>
      <w:tr>
        <w:trPr/>
        <w:tc>
          <w:tcPr>
            <w:tcW w:w="7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26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By:</w:t>
            </w:r>
          </w:p>
        </w:tc>
        <w:tc>
          <w:tcPr>
            <w:tcW w:w="2639" w:type="dxa"/>
            <w:tcBorders>
              <w:bottom w:val="single" w:sz="12" w:space="0" w:color="000000"/>
            </w:tcBorders>
            <w:tcMar>
              <w:bottom w:w="28" w:type="dxa"/>
            </w:tcMar>
            <w:vAlign w:val="center"/>
          </w:tcPr>
          <w:p>
            <w:pPr>
              <w:pStyle w:val="TableContents"/>
              <w:bidi w:val="0"/>
              <w:spacing w:before="0" w:after="283"/>
              <w:jc w:val="left"/>
              <w:rPr/>
            </w:pPr>
            <w:r>
              <w:rPr/>
              <w:t>/s/ Chris Medico</w:t>
            </w:r>
          </w:p>
        </w:tc>
      </w:tr>
      <w:tr>
        <w:trPr/>
        <w:tc>
          <w:tcPr>
            <w:tcW w:w="7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Name: </w:t>
            </w:r>
          </w:p>
        </w:tc>
        <w:tc>
          <w:tcPr>
            <w:tcW w:w="2639" w:type="dxa"/>
            <w:tcBorders/>
            <w:vAlign w:val="center"/>
          </w:tcPr>
          <w:p>
            <w:pPr>
              <w:pStyle w:val="TableContents"/>
              <w:bidi w:val="0"/>
              <w:spacing w:before="0" w:after="283"/>
              <w:jc w:val="left"/>
              <w:rPr/>
            </w:pPr>
            <w:r>
              <w:rPr/>
              <w:t>Chris Medico</w:t>
            </w:r>
          </w:p>
        </w:tc>
      </w:tr>
      <w:tr>
        <w:trPr/>
        <w:tc>
          <w:tcPr>
            <w:tcW w:w="7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Title:</w:t>
            </w:r>
          </w:p>
        </w:tc>
        <w:tc>
          <w:tcPr>
            <w:tcW w:w="2639" w:type="dxa"/>
            <w:tcBorders/>
            <w:vAlign w:val="center"/>
          </w:tcPr>
          <w:p>
            <w:pPr>
              <w:pStyle w:val="TableContents"/>
              <w:bidi w:val="0"/>
              <w:spacing w:before="0" w:after="283"/>
              <w:jc w:val="left"/>
              <w:rPr/>
            </w:pPr>
            <w:r>
              <w:rPr/>
              <w:t>President</w:t>
            </w:r>
          </w:p>
        </w:tc>
      </w:tr>
    </w:tbl>
    <w:p>
      <w:pPr>
        <w:pStyle w:val="TextBody"/>
        <w:bidi w:val="0"/>
        <w:spacing w:before="0" w:after="283"/>
        <w:jc w:val="left"/>
        <w:rPr/>
      </w:pPr>
      <w:r>
        <w:rPr/>
        <w:t> </w:t>
      </w:r>
    </w:p>
    <w:tbl>
      <w:tblPr>
        <w:tblW w:w="4855" w:type="dxa"/>
        <w:jc w:val="left"/>
        <w:tblInd w:w="0" w:type="dxa"/>
        <w:tblLayout w:type="fixed"/>
        <w:tblCellMar>
          <w:top w:w="0" w:type="dxa"/>
          <w:left w:w="0" w:type="dxa"/>
          <w:bottom w:w="0" w:type="dxa"/>
          <w:right w:w="0" w:type="dxa"/>
        </w:tblCellMar>
      </w:tblPr>
      <w:tblGrid>
        <w:gridCol w:w="75"/>
        <w:gridCol w:w="860"/>
        <w:gridCol w:w="392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3920" w:type="dxa"/>
            <w:tcBorders/>
            <w:vAlign w:val="center"/>
          </w:tcPr>
          <w:p>
            <w:pPr>
              <w:pStyle w:val="TableContents"/>
              <w:bidi w:val="0"/>
              <w:spacing w:before="0" w:after="283"/>
              <w:jc w:val="left"/>
              <w:rPr/>
            </w:pPr>
            <w:r>
              <w:rPr/>
              <w:t>838 Walker Road, Suite 21-2, DE 19904</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3920" w:type="dxa"/>
            <w:tcBorders/>
            <w:vAlign w:val="center"/>
          </w:tcPr>
          <w:p>
            <w:pPr>
              <w:pStyle w:val="TableContents"/>
              <w:bidi w:val="0"/>
              <w:spacing w:before="0" w:after="283"/>
              <w:jc w:val="left"/>
              <w:rPr/>
            </w:pP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710"/>
        <w:gridCol w:w="1085"/>
      </w:tblGrid>
      <w:tr>
        <w:trPr/>
        <w:tc>
          <w:tcPr>
            <w:tcW w:w="75"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95" w:type="dxa"/>
            <w:gridSpan w:val="2"/>
            <w:tcBorders>
              <w:bottom w:val="single" w:sz="12" w:space="0" w:color="000000"/>
            </w:tcBorders>
            <w:tcMar>
              <w:bottom w:w="28" w:type="dxa"/>
            </w:tcMar>
            <w:vAlign w:val="center"/>
          </w:tcPr>
          <w:p>
            <w:pPr>
              <w:pStyle w:val="TableContents"/>
              <w:bidi w:val="0"/>
              <w:spacing w:before="0" w:after="283"/>
              <w:jc w:val="left"/>
              <w:rPr/>
            </w:pPr>
            <w:r>
              <w:rPr/>
              <w:t>/s/ Yeh Ching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085" w:type="dxa"/>
            <w:tcBorders/>
            <w:vAlign w:val="center"/>
          </w:tcPr>
          <w:p>
            <w:pPr>
              <w:pStyle w:val="TableContents"/>
              <w:bidi w:val="0"/>
              <w:spacing w:before="0" w:after="283"/>
              <w:jc w:val="left"/>
              <w:rPr/>
            </w:pPr>
            <w:r>
              <w:rPr/>
              <w:t>Yeh Ching</w:t>
            </w:r>
          </w:p>
        </w:tc>
      </w:tr>
    </w:tbl>
    <w:p>
      <w:pPr>
        <w:pStyle w:val="TextBody"/>
        <w:bidi w:val="0"/>
        <w:spacing w:before="0" w:after="283"/>
        <w:jc w:val="left"/>
        <w:rPr/>
      </w:pPr>
      <w:r>
        <w:rPr/>
        <w:t> </w:t>
      </w:r>
    </w:p>
    <w:tbl>
      <w:tblPr>
        <w:tblW w:w="1660" w:type="dxa"/>
        <w:jc w:val="left"/>
        <w:tblInd w:w="0" w:type="dxa"/>
        <w:tblLayout w:type="fixed"/>
        <w:tblCellMar>
          <w:top w:w="0" w:type="dxa"/>
          <w:left w:w="0" w:type="dxa"/>
          <w:bottom w:w="0" w:type="dxa"/>
          <w:right w:w="0" w:type="dxa"/>
        </w:tblCellMar>
      </w:tblPr>
      <w:tblGrid>
        <w:gridCol w:w="75"/>
        <w:gridCol w:w="860"/>
        <w:gridCol w:w="72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725" w:type="dxa"/>
            <w:tcBorders/>
            <w:vAlign w:val="center"/>
          </w:tcPr>
          <w:p>
            <w:pPr>
              <w:pStyle w:val="TableContents"/>
              <w:bidi w:val="0"/>
              <w:spacing w:before="0" w:after="283"/>
              <w:jc w:val="left"/>
              <w:rPr/>
            </w:pPr>
            <w:r>
              <w:rPr/>
              <w:t> </w:t>
            </w:r>
            <w:r>
              <w:rPr/>
              <w: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725" w:type="dxa"/>
            <w:tcBorders/>
            <w:vAlign w:val="center"/>
          </w:tcPr>
          <w:p>
            <w:pPr>
              <w:pStyle w:val="TableContents"/>
              <w:bidi w:val="0"/>
              <w:spacing w:before="0" w:after="283"/>
              <w:jc w:val="left"/>
              <w:rPr/>
            </w:pPr>
            <w:r>
              <w:rPr/>
              <w:t> </w:t>
            </w: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710"/>
        <w:gridCol w:w="1265"/>
      </w:tblGrid>
      <w:tr>
        <w:trPr/>
        <w:tc>
          <w:tcPr>
            <w:tcW w:w="75" w:type="dxa"/>
            <w:tcBorders/>
            <w:vAlign w:val="center"/>
          </w:tcPr>
          <w:p>
            <w:pPr>
              <w:pStyle w:val="TableContents"/>
              <w:bidi w:val="0"/>
              <w:spacing w:before="0" w:after="283"/>
              <w:jc w:val="left"/>
              <w:rPr/>
            </w:pPr>
            <w:r>
              <w:rPr/>
              <w:t> </w:t>
            </w:r>
          </w:p>
        </w:tc>
        <w:tc>
          <w:tcPr>
            <w:tcW w:w="1975"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5" w:type="dxa"/>
            <w:gridSpan w:val="2"/>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Jingwei Tan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265" w:type="dxa"/>
            <w:tcBorders/>
            <w:vAlign w:val="center"/>
          </w:tcPr>
          <w:p>
            <w:pPr>
              <w:pStyle w:val="TableContents"/>
              <w:bidi w:val="0"/>
              <w:spacing w:before="0" w:after="283"/>
              <w:jc w:val="left"/>
              <w:rPr/>
            </w:pPr>
            <w:r>
              <w:rPr/>
              <w:t> </w:t>
            </w:r>
            <w:r>
              <w:rPr/>
              <w:t>Jingwei Tan</w:t>
            </w:r>
          </w:p>
        </w:tc>
      </w:tr>
    </w:tbl>
    <w:p>
      <w:pPr>
        <w:pStyle w:val="TextBody"/>
        <w:bidi w:val="0"/>
        <w:spacing w:before="0" w:after="283"/>
        <w:jc w:val="left"/>
        <w:rPr/>
      </w:pPr>
      <w:r>
        <w:rPr/>
        <w:t> </w:t>
      </w:r>
    </w:p>
    <w:tbl>
      <w:tblPr>
        <w:tblW w:w="1660" w:type="dxa"/>
        <w:jc w:val="left"/>
        <w:tblInd w:w="0" w:type="dxa"/>
        <w:tblLayout w:type="fixed"/>
        <w:tblCellMar>
          <w:top w:w="0" w:type="dxa"/>
          <w:left w:w="0" w:type="dxa"/>
          <w:bottom w:w="0" w:type="dxa"/>
          <w:right w:w="0" w:type="dxa"/>
        </w:tblCellMar>
      </w:tblPr>
      <w:tblGrid>
        <w:gridCol w:w="75"/>
        <w:gridCol w:w="860"/>
        <w:gridCol w:w="72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725" w:type="dxa"/>
            <w:tcBorders/>
            <w:vAlign w:val="center"/>
          </w:tcPr>
          <w:p>
            <w:pPr>
              <w:pStyle w:val="TableContents"/>
              <w:bidi w:val="0"/>
              <w:spacing w:before="0" w:after="283"/>
              <w:jc w:val="left"/>
              <w:rPr/>
            </w:pPr>
            <w:r>
              <w:rPr/>
              <w:t> </w:t>
            </w:r>
            <w:r>
              <w:rPr/>
              <w: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725" w:type="dxa"/>
            <w:tcBorders/>
            <w:vAlign w:val="center"/>
          </w:tcPr>
          <w:p>
            <w:pPr>
              <w:pStyle w:val="TableContents"/>
              <w:bidi w:val="0"/>
              <w:spacing w:before="0" w:after="283"/>
              <w:jc w:val="left"/>
              <w:rPr/>
            </w:pP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710"/>
        <w:gridCol w:w="1025"/>
      </w:tblGrid>
      <w:tr>
        <w:trPr/>
        <w:tc>
          <w:tcPr>
            <w:tcW w:w="75"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283"/>
              <w:jc w:val="left"/>
              <w:rPr/>
            </w:pPr>
            <w:r>
              <w:rPr/>
              <w:t>/s/ Yang Hao</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025" w:type="dxa"/>
            <w:tcBorders/>
            <w:vAlign w:val="center"/>
          </w:tcPr>
          <w:p>
            <w:pPr>
              <w:pStyle w:val="TableContents"/>
              <w:bidi w:val="0"/>
              <w:spacing w:before="0" w:after="283"/>
              <w:jc w:val="left"/>
              <w:rPr/>
            </w:pPr>
            <w:r>
              <w:rPr/>
              <w:t>Yang Hao</w:t>
            </w:r>
          </w:p>
        </w:tc>
      </w:tr>
    </w:tbl>
    <w:p>
      <w:pPr>
        <w:pStyle w:val="TextBody"/>
        <w:bidi w:val="0"/>
        <w:spacing w:before="0" w:after="283"/>
        <w:jc w:val="left"/>
        <w:rPr/>
      </w:pPr>
      <w:r>
        <w:rPr/>
        <w:t> </w:t>
      </w:r>
    </w:p>
    <w:tbl>
      <w:tblPr>
        <w:tblW w:w="1600" w:type="dxa"/>
        <w:jc w:val="left"/>
        <w:tblInd w:w="0" w:type="dxa"/>
        <w:tblLayout w:type="fixed"/>
        <w:tblCellMar>
          <w:top w:w="0" w:type="dxa"/>
          <w:left w:w="0" w:type="dxa"/>
          <w:bottom w:w="0" w:type="dxa"/>
          <w:right w:w="0" w:type="dxa"/>
        </w:tblCellMar>
      </w:tblPr>
      <w:tblGrid>
        <w:gridCol w:w="75"/>
        <w:gridCol w:w="860"/>
        <w:gridCol w:w="66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66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665" w:type="dxa"/>
            <w:tcBorders/>
            <w:vAlign w:val="center"/>
          </w:tcPr>
          <w:p>
            <w:pPr>
              <w:pStyle w:val="TableContents"/>
              <w:bidi w:val="0"/>
              <w:spacing w:before="0" w:after="283"/>
              <w:jc w:val="left"/>
              <w:rPr/>
            </w:pP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75"/>
        <w:gridCol w:w="831"/>
        <w:gridCol w:w="3643"/>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b/>
              </w:rPr>
            </w:pPr>
            <w:r>
              <w:rPr>
                <w:b/>
              </w:rPr>
              <w:t>INVESTOR: Even Green Holdings Limited</w:t>
            </w:r>
          </w:p>
        </w:tc>
      </w:tr>
      <w:tr>
        <w:trPr/>
        <w:tc>
          <w:tcPr>
            <w:tcW w:w="75"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3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By:</w:t>
            </w:r>
          </w:p>
        </w:tc>
        <w:tc>
          <w:tcPr>
            <w:tcW w:w="3643" w:type="dxa"/>
            <w:tcBorders>
              <w:bottom w:val="single" w:sz="12" w:space="0" w:color="000000"/>
            </w:tcBorders>
            <w:tcMar>
              <w:bottom w:w="28" w:type="dxa"/>
            </w:tcMar>
            <w:vAlign w:val="center"/>
          </w:tcPr>
          <w:p>
            <w:pPr>
              <w:pStyle w:val="TableContents"/>
              <w:bidi w:val="0"/>
              <w:spacing w:before="0" w:after="283"/>
              <w:jc w:val="left"/>
              <w:rPr/>
            </w:pPr>
            <w:r>
              <w:rPr/>
              <w:t>/s/ LI Zhuoran</w:t>
            </w:r>
          </w:p>
        </w:tc>
      </w:tr>
      <w:tr>
        <w:trPr/>
        <w:tc>
          <w:tcPr>
            <w:tcW w:w="75"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Name: </w:t>
            </w:r>
          </w:p>
        </w:tc>
        <w:tc>
          <w:tcPr>
            <w:tcW w:w="3643" w:type="dxa"/>
            <w:tcBorders/>
            <w:vAlign w:val="center"/>
          </w:tcPr>
          <w:p>
            <w:pPr>
              <w:pStyle w:val="TableContents"/>
              <w:bidi w:val="0"/>
              <w:spacing w:before="0" w:after="283"/>
              <w:jc w:val="left"/>
              <w:rPr/>
            </w:pPr>
            <w:r>
              <w:rPr/>
              <w:t>LI Zhuoran</w:t>
            </w:r>
          </w:p>
        </w:tc>
      </w:tr>
      <w:tr>
        <w:trPr/>
        <w:tc>
          <w:tcPr>
            <w:tcW w:w="75"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Title:</w:t>
            </w:r>
          </w:p>
        </w:tc>
        <w:tc>
          <w:tcPr>
            <w:tcW w:w="3643" w:type="dxa"/>
            <w:tcBorders/>
            <w:vAlign w:val="center"/>
          </w:tcPr>
          <w:p>
            <w:pPr>
              <w:pStyle w:val="TableContents"/>
              <w:bidi w:val="0"/>
              <w:spacing w:before="0" w:after="283"/>
              <w:jc w:val="left"/>
              <w:rPr/>
            </w:pPr>
            <w:r>
              <w:rPr/>
              <w:t>Director of Dedao Trust Limited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854"/>
        <w:gridCol w:w="9276"/>
      </w:tblGrid>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Address:</w:t>
            </w:r>
          </w:p>
        </w:tc>
        <w:tc>
          <w:tcPr>
            <w:tcW w:w="9276" w:type="dxa"/>
            <w:tcBorders/>
            <w:vAlign w:val="center"/>
          </w:tcPr>
          <w:p>
            <w:pPr>
              <w:pStyle w:val="TableContents"/>
              <w:bidi w:val="0"/>
              <w:spacing w:before="0" w:after="283"/>
              <w:jc w:val="left"/>
              <w:rPr/>
            </w:pPr>
            <w:r>
              <w:rPr/>
              <w:t>Vistra Corporate Services Centre, Wickhams Cay II, Road Town, Tortola, VG1110, British Virgin Islands</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Email:</w:t>
            </w:r>
          </w:p>
        </w:tc>
        <w:tc>
          <w:tcPr>
            <w:tcW w:w="9276" w:type="dxa"/>
            <w:tcBorders/>
            <w:vAlign w:val="center"/>
          </w:tcPr>
          <w:p>
            <w:pPr>
              <w:pStyle w:val="TableContents"/>
              <w:bidi w:val="0"/>
              <w:spacing w:before="0" w:after="283"/>
              <w:jc w:val="left"/>
              <w:rPr/>
            </w:pPr>
            <w:r>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ACCREDITED INVESTOR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30130601ex10-3.htm"/>
      <w:bookmarkStart w:id="9" w:name="ksea030130601ex103"/>
      <w:bookmarkEnd w:id="8"/>
      <w:bookmarkEnd w:id="9"/>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PORTIONS OF THE EXHIBIT THAT ARE NOT MATERIAL AND IS THE TYPE OF INFORMATION THAT THE REGISTRANT TREATS AS PRIVATE OR CONFIDENTIAL HAVE BEEN REDACTED PURSUANT TO ITEM </w:t>
      </w:r>
      <w:r>
        <w:rPr>
          <w:rFonts w:ascii="Times New Roman;Times;Serif" w:hAnsi="Times New Roman;Times;Serif"/>
          <w:b w:val="false"/>
          <w:i/>
          <w:caps w:val="false"/>
          <w:smallCaps w:val="false"/>
          <w:sz w:val="20"/>
        </w:rPr>
        <w:t>601(b)(10</w:t>
      </w:r>
      <w:r>
        <w:rPr>
          <w:rFonts w:ascii="Times New Roman;Times;Serif" w:hAnsi="Times New Roman;Times;Serif"/>
          <w:b w:val="false"/>
          <w:i w:val="false"/>
          <w:caps w:val="false"/>
          <w:smallCaps w:val="false"/>
          <w:sz w:val="20"/>
        </w:rPr>
        <w:t>)(iv) OF REGULATION S-K. [****] INDICATES THAT INFORMATION HAS BEEN 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28, 2026, is entered into by and between SAIHEAT Limited, an exempted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Energy Science Artist Holding Limited, a British Virgin Islands business company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Agreement and Plan of Merger (as amended, restated, supplemented or otherwise modified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by and among the Company, Saiheat Merger Sub, Inc., a Delaware corporation and wholly owned subsidiary of the Company, Canopy Wave Inc., a Delaware corporation (the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and the Target’s stockholders, Taoyue (Tao) Zhang and Chunyi (James) Liao.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Holder is the registered holder of 642,043 Class B ordinary shares, par value $0.0015 per share, of the Company (the “</w:t>
      </w:r>
      <w:r>
        <w:rPr>
          <w:rFonts w:ascii="Times New Roman;Times;Serif" w:hAnsi="Times New Roman;Times;Serif"/>
          <w:b/>
          <w:i w:val="false"/>
          <w:caps w:val="false"/>
          <w:smallCaps w:val="false"/>
          <w:sz w:val="20"/>
        </w:rPr>
        <w:t>Class B Shares</w:t>
      </w:r>
      <w:r>
        <w:rPr>
          <w:rFonts w:ascii="Times New Roman;Times;Serif" w:hAnsi="Times New Roman;Times;Serif"/>
          <w:b w:val="false"/>
          <w:i w:val="false"/>
          <w:caps w:val="false"/>
          <w:smallCaps w:val="false"/>
          <w:sz w:val="20"/>
        </w:rPr>
        <w:t>”), all of which Class B Shares shall be converted into an equal number of Class A ordinary shares, par value $0.0015 per share, of the Company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collectively with Class B Shares referred to as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prior to the closing of the transactions contemplated by the Merger Agreement (such Class A Shares issued upon conversion of the Class B Shares,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consideration of the Holder’s agreement to convert the Class B Shares into Class A Shares and to support the transactions contemplated by the Merger Agreement, the Company has agreed to provide the Holder with certain registration rights under the U.S.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promises and the mutual covenants contained herein and other good and valuable consideration, the receipt and sufficiency of which are hereby acknowledged, the Company and the Holder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1105"/>
        <w:gridCol w:w="8891"/>
      </w:tblGrid>
      <w:tr>
        <w:trPr/>
        <w:tc>
          <w:tcPr>
            <w:tcW w:w="2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pPr>
            <w:r>
              <w:rPr/>
              <w:t>1.</w:t>
            </w:r>
          </w:p>
        </w:tc>
        <w:tc>
          <w:tcPr>
            <w:tcW w:w="8891" w:type="dxa"/>
            <w:tcBorders/>
            <w:vAlign w:val="center"/>
          </w:tcPr>
          <w:p>
            <w:pPr>
              <w:pStyle w:val="TableContents"/>
              <w:bidi w:val="0"/>
              <w:spacing w:before="0" w:after="283"/>
              <w:jc w:val="left"/>
              <w:rPr/>
            </w:pPr>
            <w:r>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the Conversion Shares and any Ordinary Shares issued or issuable with respect to the Conversion Shares as a result of any share split or subdivision, share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the date on which (i) the Holder shall have resold all the Registrable Securities covered by the Registration Statement and (ii) such securities become eligible for resale without volume or manner-of-sale restrictions pursuant to Rule 144 and without the requirement for the Company to be in compliance with the current public information requirement under Rule 144.</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it became effective, including all documents filed as part thereof or incorporated by reference therein, and including any information contained in a Prospectus subsequently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Selling Expenses</w:t>
      </w:r>
      <w:r>
        <w:rPr>
          <w:rFonts w:ascii="Times New Roman;Times;Serif" w:hAnsi="Times New Roman;Times;Serif"/>
          <w:b w:val="false"/>
          <w:i w:val="false"/>
          <w:caps w:val="false"/>
          <w:smallCaps w:val="false"/>
          <w:sz w:val="20"/>
        </w:rPr>
        <w:t>” means all underwriting discounts and selling commissions applicable to the sale of Registrable Securities and all similar fees and commissions relating to the Holder’s disposition of the Registrable Securities.</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964"/>
        <w:gridCol w:w="9059"/>
      </w:tblGrid>
      <w:tr>
        <w:trPr/>
        <w:tc>
          <w:tcPr>
            <w:tcW w:w="1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pPr>
            <w:r>
              <w:rPr/>
              <w:t>2.</w:t>
            </w:r>
          </w:p>
        </w:tc>
        <w:tc>
          <w:tcPr>
            <w:tcW w:w="9059" w:type="dxa"/>
            <w:tcBorders/>
            <w:vAlign w:val="center"/>
          </w:tcPr>
          <w:p>
            <w:pPr>
              <w:pStyle w:val="TableContents"/>
              <w:bidi w:val="0"/>
              <w:spacing w:before="0" w:after="283"/>
              <w:jc w:val="left"/>
              <w:rPr/>
            </w:pPr>
            <w:r>
              <w:rPr/>
              <w:t>REGISTRATION.</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as promptly as reasonably practicable and in any event no later than 30 days after the closing of the transactions contemplated by the Merger Agreement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but subject to the availability of all financial statements of the Company (as the accounting acquirer) then required by the SEC to be included therein, prepare and file with the SEC an initial Registration Statement (the “</w:t>
      </w:r>
      <w:r>
        <w:rPr>
          <w:rFonts w:ascii="Times New Roman;Times;Serif" w:hAnsi="Times New Roman;Times;Serif"/>
          <w:b/>
          <w:i w:val="false"/>
          <w:caps w:val="false"/>
          <w:smallCaps w:val="false"/>
          <w:sz w:val="20"/>
        </w:rPr>
        <w:t>Initial Registration Statement</w:t>
      </w:r>
      <w:r>
        <w:rPr>
          <w:rFonts w:ascii="Times New Roman;Times;Serif" w:hAnsi="Times New Roman;Times;Serif"/>
          <w:b w:val="false"/>
          <w:i w:val="false"/>
          <w:caps w:val="false"/>
          <w:smallCaps w:val="false"/>
          <w:sz w:val="20"/>
        </w:rPr>
        <w:t>”) covering the resale of all Registrable Securities. Each Registration Statement filed hereunder shall be on Form F-3 (except if the Company is not then eligible to register for resale the Registrable Securities on Form F-3, in which case such registration shall be on another appropriate form in accordance herewith). At least three (3) Business Days before filing the Registration Statement and at least one (1) Business Day prior to filing any amendment or supplement thereto or any related Prospectus, the Company shall furnish to the Holder a copy of such filings for review and comment by the Holder and its counsel, if any, prior to its filing with the SEC. The Company shall (i) use commercially reasonable efforts to address in each such document prior to its filing with the SEC such comments as the Holder or its counsel, if any, reasonably propose, and (ii) not file any Registration Statement or related Prospectus or any amendment or supplement thereto containing information regarding the Holder to which the Holder reasonably objects, unless such information is required to comply with any applicable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The Company shall use its reasonable best efforts to have the Initial Registration Statement declared effective by the SEC at the earliest possible date but no later than the earlier of (i) the 75th calendar day following the initial filing date of the Initial Registration Statement if the SEC notifies the Company that it will “review” the Initial Registration Statement and (ii) the fifth Business Day after the date the Company is notified (orally or in writing, whichever is earlier) by the SEC that the Initial Registration Statement will not be “reviewed” or will not be subject to further review. The Company shall notify the Holder by e-mail as promptly as practicable, and in any event, within 24 hours, after the Registration Statement is declared effective and shall as promptly as practicable provide the Holder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Holder of all of the Registrable Securities covered thereby at all times until the earliest to occur of the following events: (x) the date on which the Holder shall have resold all the Registrable Securities covered thereby; and (y) the date on which the Registrable Securities may be resold by the Holder without registration, without regard to any volume or manner-of-sale limitations by reason of Rule 144, and without the requirement for the Company to be in compliance with the current public information requirement under Rule 144 under the Securities Act or any other rule of similar effect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Sufficient Number of Securities Registered</w:t>
      </w:r>
      <w:r>
        <w:rPr>
          <w:rFonts w:ascii="Times New Roman;Times;Serif" w:hAnsi="Times New Roman;Times;Serif"/>
          <w:b w:val="false"/>
          <w:i w:val="false"/>
          <w:caps w:val="false"/>
          <w:smallCaps w:val="false"/>
          <w:sz w:val="20"/>
        </w:rPr>
        <w:t>. In the event the number of securities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so as to cover all of such Registrable Securities as soon as reasonably practicable, but in any event not later than ten Business Days after the necessity therefor arises. The Company shall use its reasonable best efforts to have such amendment and/or New Registration Statement declared effective as soon as reasonably practicable following the filing thereof but no later than the earlier of (i) the 75th calendar day following the initial filing date of the New Registration Statement if the SEC notifies the Company that it will “review” the New Registration Statement and (ii) the fifth Business Day after the date the Company is notified (orally or in writing, whichever is earlier) by the SEC that the New Registration Statement will not be “reviewed” or will not be subject to further review. The provisions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shall apply to the New Registration Statement, except as modified hereby.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Allowable Delays.</w:t>
      </w:r>
      <w:r>
        <w:rPr>
          <w:rFonts w:ascii="Times New Roman;Times;Serif" w:hAnsi="Times New Roman;Times;Serif"/>
          <w:b w:val="false"/>
          <w:i w:val="false"/>
          <w:caps w:val="false"/>
          <w:smallCaps w:val="false"/>
          <w:sz w:val="20"/>
        </w:rPr>
        <w:t> On no more than three (3) occasions and for not more than 60 consecutive days or for a total of not more than 120 days in any 12 month period, the Company may delay the effectiveness of the Initial Registration Statement or any other Registration Statement, or suspend the use of any Prospectus, in the event that the Company determines in good faith that such delay or suspension is necessary to (i) delay the disclosure of material non-public information concerning the Company, the disclosure of which at the time is not, in the good faith opinion of the Company, in the best interests of the Company or (ii)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i w:val="false"/>
          <w:caps w:val="false"/>
          <w:smallCaps w:val="false"/>
          <w:sz w:val="20"/>
        </w:rPr>
        <w:t>Allowed Delay</w:t>
      </w:r>
      <w:r>
        <w:rPr>
          <w:rFonts w:ascii="Times New Roman;Times;Serif" w:hAnsi="Times New Roman;Times;Serif"/>
          <w:b w:val="false"/>
          <w:i w:val="false"/>
          <w:caps w:val="false"/>
          <w:smallCaps w:val="false"/>
          <w:sz w:val="20"/>
        </w:rPr>
        <w:t>”); provided, that the Company shall (x) promptly notify the Holder in writing of the commencement of an Allowed Delay, but shall not (without the prior written consent of the Holder) disclose to the Holder any material non-public information giving rise to an Allowed Delay, (y) advise the Holder in writing to cease all sales under the applicable Registration Statement until the end of the Allowed Delay and (z) use commercially reasonable efforts to terminate an Allowed Delay as promptly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Rule 415; Cutback</w:t>
      </w:r>
      <w:r>
        <w:rPr>
          <w:rFonts w:ascii="Times New Roman;Times;Serif" w:hAnsi="Times New Roman;Times;Serif"/>
          <w:b w:val="false"/>
          <w:i w:val="false"/>
          <w:caps w:val="false"/>
          <w:smallCaps w:val="false"/>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the Holder to be named as an “underwriter,” the Company shall (i) promptly notify the Holder thereof and (ii) use reasonable best efforts to persuade the SEC that the offering contemplated by such Registration Statement is a valid secondary offering and not an offering “by or on behalf of the issuer” as defined in Rule 415 and that the Holder is not an “underwriter.” The Holder shall have the right to select one legal counsel, at the Holder’s sole expense, to review and oversee any registration or matters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the Holder’s counsel reasonably objects. In the event that, despite the Company’s reasonable best efforts and compliance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the SEC limits the number of Registrable Securities permitted to be registered on any Registration Statement as a secondary offering, the Company shall (x) remove from such Registration Statement such portion of the Registrable Securities (the “</w:t>
      </w:r>
      <w:r>
        <w:rPr>
          <w:rFonts w:ascii="Times New Roman;Times;Serif" w:hAnsi="Times New Roman;Times;Serif"/>
          <w:b/>
          <w:i w:val="false"/>
          <w:caps w:val="false"/>
          <w:smallCaps w:val="false"/>
          <w:sz w:val="20"/>
        </w:rPr>
        <w:t>Cut Back Shares</w:t>
      </w:r>
      <w:r>
        <w:rPr>
          <w:rFonts w:ascii="Times New Roman;Times;Serif" w:hAnsi="Times New Roman;Times;Serif"/>
          <w:b w:val="false"/>
          <w:i w:val="false"/>
          <w:caps w:val="false"/>
          <w:smallCaps w:val="false"/>
          <w:sz w:val="20"/>
        </w:rPr>
        <w:t>”) and/or (y)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b/>
          <w:i w:val="false"/>
          <w:caps w:val="false"/>
          <w:smallCaps w:val="false"/>
          <w:sz w:val="20"/>
        </w:rPr>
        <w:t>SEC Restrictions</w:t>
      </w:r>
      <w:r>
        <w:rPr>
          <w:rFonts w:ascii="Times New Roman;Times;Serif" w:hAnsi="Times New Roman;Times;Serif"/>
          <w:b w:val="false"/>
          <w:i w:val="false"/>
          <w:caps w:val="false"/>
          <w:smallCaps w:val="false"/>
          <w:sz w:val="20"/>
        </w:rPr>
        <w:t>”); provided, however, that the Company shall not name the Holder as an “underwriter” in such Registration Statement without the prior written consent of the Holder (provided that, in the event the Holder withholds such consent, the Company shall have no obligation hereunder to include any Registrable Securities of the Holder in any Registration Statement covering the resale thereof until such time as the SEC no longer requires the Holder to be named as an “underwriter” in such Registration Statement or the Holder otherwise consents in writing to being so named). From and after such date as the Company is able to effect the Registration of any Cut Back Shares in accordance with any SEC Restrictions applicable to such Cut Back Shares (such date, the “</w:t>
      </w:r>
      <w:r>
        <w:rPr>
          <w:rFonts w:ascii="Times New Roman;Times;Serif" w:hAnsi="Times New Roman;Times;Serif"/>
          <w:b/>
          <w:i w:val="false"/>
          <w:caps w:val="false"/>
          <w:smallCaps w:val="false"/>
          <w:sz w:val="20"/>
        </w:rPr>
        <w:t>Restriction Termination Date</w:t>
      </w:r>
      <w:r>
        <w:rPr>
          <w:rFonts w:ascii="Times New Roman;Times;Serif" w:hAnsi="Times New Roman;Times;Serif"/>
          <w:b w:val="false"/>
          <w:i w:val="false"/>
          <w:caps w:val="false"/>
          <w:smallCaps w:val="false"/>
          <w:sz w:val="20"/>
        </w:rPr>
        <w:t xml:space="preserve">”), all of the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(including the Company’s obligations with respect to the filing of a Registration Statement and its obligations to use reasonable best efforts to have such Registration Statement declared effective within the time periods set forth herein) shall again be applicable to such Cut Back Shares; provided, however,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55th day immediately after the Restriction Termination Date.</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8"/>
        <w:gridCol w:w="9661"/>
      </w:tblGrid>
      <w:tr>
        <w:trPr/>
        <w:tc>
          <w:tcPr>
            <w:tcW w:w="8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3.</w:t>
            </w:r>
          </w:p>
        </w:tc>
        <w:tc>
          <w:tcPr>
            <w:tcW w:w="9661" w:type="dxa"/>
            <w:tcBorders/>
            <w:vAlign w:val="center"/>
          </w:tcPr>
          <w:p>
            <w:pPr>
              <w:pStyle w:val="TableContents"/>
              <w:bidi w:val="0"/>
              <w:spacing w:before="0" w:after="283"/>
              <w:jc w:val="left"/>
              <w:rPr/>
            </w:pPr>
            <w:r>
              <w:rPr/>
              <w:t>RELATED COMPANY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Registration Statement and whenever any Registrable Securities are to be Registered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Notifications</w:t>
      </w:r>
      <w:r>
        <w:rPr>
          <w:rFonts w:ascii="Times New Roman;Times;Serif" w:hAnsi="Times New Roman;Times;Serif"/>
          <w:b w:val="false"/>
          <w:i w:val="false"/>
          <w:caps w:val="false"/>
          <w:smallCaps w:val="false"/>
          <w:sz w:val="20"/>
        </w:rPr>
        <w:t>. The Company will promptly notify the Holder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The Company will prepare and file with the SEC any amendments, post-effective amendments or supplements to the Initial Registration Statement, any New Registration Statement or any Prospectus, as applicable, that, (i) as may be necessary to keep such Registration Statement effective for the Registration Period and to comply with the provisions of the Securities Act and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respect to the distribution of all of the Registrable Securities covered thereby, or (ii) in the reasonable opinion of the Holder, as may be necessary or advisable in connection with any acquisition or sale of Registrable Securities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Review</w:t>
      </w:r>
      <w:r>
        <w:rPr>
          <w:rFonts w:ascii="Times New Roman;Times;Serif" w:hAnsi="Times New Roman;Times;Serif"/>
          <w:b w:val="false"/>
          <w:i w:val="false"/>
          <w:caps w:val="false"/>
          <w:smallCaps w:val="false"/>
          <w:sz w:val="20"/>
        </w:rPr>
        <w:t>. The Company will not file any amendment or supplement to the Registration Statement, any New Registration Statement or any Prospectus, other than documents incorporated by reference, relating to the Holder, the Registrable Securities or the transactions contemplated hereby unless (i) the Holder and its counsel, if any, shall have been advised and afforded the opportunity to review and comment thereon at least three Business Days prior to filing with the SEC and (ii) the Company shall have given reasonable due consideration to any comments thereon received from the Holder or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Copies Available</w:t>
      </w:r>
      <w:r>
        <w:rPr>
          <w:rFonts w:ascii="Times New Roman;Times;Serif" w:hAnsi="Times New Roman;Times;Serif"/>
          <w:b w:val="false"/>
          <w:i w:val="false"/>
          <w:caps w:val="false"/>
          <w:smallCaps w:val="false"/>
          <w:sz w:val="20"/>
        </w:rPr>
        <w:t xml:space="preserve">. The Company will furnish to the Holder, if its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w:t>
      </w:r>
      <w:r>
        <w:rPr>
          <w:rFonts w:ascii="Times New Roman;Times;Serif" w:hAnsi="Times New Roman;Times;Serif"/>
          <w:b w:val="false"/>
          <w:i w:val="false"/>
          <w:caps w:val="false"/>
          <w:smallCaps w:val="false"/>
          <w:sz w:val="20"/>
          <w:shd w:fill="FFFFFF" w:val="clear"/>
        </w:rPr>
        <w:t>such other documents as the Holder may reasonably request in order to facilitate the disposition of the Registrable Securities owned by the Holder that are covered by such Registration Statement</w:t>
      </w:r>
      <w:r>
        <w:rPr>
          <w:rFonts w:ascii="Times New Roman;Times;Serif" w:hAnsi="Times New Roman;Times;Serif"/>
          <w:b w:val="false"/>
          <w:i w:val="false"/>
          <w:caps w:val="false"/>
          <w:smallCaps w:val="false"/>
          <w:sz w:val="20"/>
        </w:rPr>
        <w:t>, in each case as soon as reasonably practicable upon the Holder’s request and in such quantities as the Holder may from time to time reasonably request; provided, however, that the Company shall not be required to furnish any document to the Holder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Notification of Stop Orders; Material Changes</w:t>
      </w:r>
      <w:r>
        <w:rPr>
          <w:rFonts w:ascii="Times New Roman;Times;Serif" w:hAnsi="Times New Roman;Times;Serif"/>
          <w:b w:val="false"/>
          <w:i w:val="false"/>
          <w:caps w:val="false"/>
          <w:smallCaps w:val="false"/>
          <w:sz w:val="20"/>
        </w:rPr>
        <w:t>. The Company shall use commercially reasonable efforts to (i) prevent the issuance of any stop order or other suspension of effectiveness relating to any Registration Statement and, (ii) if such order is issued, obtain the withdrawal of any such order as soon as practicable. The Company shall advise the Holder promptly (but in no event later than 48 hours) and shall confirm such advice in writing, in each case: (x) of the Company’s receipt of notice of any request by the SEC or any other federal or state governmental authority for amendment of or a supplement to the Registration Statement or any Prospectus or for any additional information; (y)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(z)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Holder the substance of specific reasons of any of the events set forth in clause (x) to (z) of the immediately preceding sentence (each, a “</w:t>
      </w:r>
      <w:r>
        <w:rPr>
          <w:rFonts w:ascii="Times New Roman;Times;Serif" w:hAnsi="Times New Roman;Times;Serif"/>
          <w:b/>
          <w:i w:val="false"/>
          <w:caps w:val="false"/>
          <w:smallCaps w:val="false"/>
          <w:sz w:val="20"/>
        </w:rPr>
        <w:t>Suspension Event</w:t>
      </w:r>
      <w:r>
        <w:rPr>
          <w:rFonts w:ascii="Times New Roman;Times;Serif" w:hAnsi="Times New Roman;Times;Serif"/>
          <w:b w:val="false"/>
          <w:i w:val="false"/>
          <w:caps w:val="false"/>
          <w:smallCaps w:val="false"/>
          <w:sz w:val="20"/>
        </w:rPr>
        <w:t xml:space="preserve">”), but rather, shall only be required to disclose that the event has occurred. The Company shall furnish to the Holder,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(z) of the first sentence of this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Confirmation of Effectiveness</w:t>
      </w:r>
      <w:r>
        <w:rPr>
          <w:rFonts w:ascii="Times New Roman;Times;Serif" w:hAnsi="Times New Roman;Times;Serif"/>
          <w:b w:val="false"/>
          <w:i w:val="false"/>
          <w:caps w:val="false"/>
          <w:smallCaps w:val="false"/>
          <w:sz w:val="20"/>
        </w:rPr>
        <w:t>. If reasonably requested by the Holder at any time in respect of any Registration Statement, the Company shall deliver to the Holder a written confirmation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reasonable best efforts to cause all Registrable Securities covered by a Registration Statement to be listed on the Nasdaq Capital Market or such other national securities exchange on which the Class A Shares are then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Holder in writing if, at any time during the Registration Period, the Company does not satisfy the conditions specified in Rule 172 and, as a result thereof, the Holder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Times;Serif" w:hAnsi="Times New Roman;Times;Serif"/>
          <w:b w:val="false"/>
          <w:i w:val="false"/>
          <w:caps w:val="false"/>
          <w:smallCaps w:val="false"/>
          <w:sz w:val="20"/>
          <w:u w:val="single"/>
        </w:rPr>
        <w:t>Section 3(h)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Availability Date</w:t>
      </w:r>
      <w:r>
        <w:rPr>
          <w:rFonts w:ascii="Times New Roman;Times;Serif" w:hAnsi="Times New Roman;Times;Serif"/>
          <w:b w:val="false"/>
          <w:i w:val="false"/>
          <w:caps w:val="false"/>
          <w:smallCaps w:val="false"/>
          <w:sz w:val="20"/>
        </w:rPr>
        <w:t>” means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end of the fourth fiscal quarter that includes the effective date of such Registration Statement, except that, if such fourth fiscal quarter is the last quarter of the Company’s fiscal year, “</w:t>
      </w:r>
      <w:r>
        <w:rPr>
          <w:rFonts w:ascii="Times New Roman;Times;Serif" w:hAnsi="Times New Roman;Times;Serif"/>
          <w:b/>
          <w:i w:val="false"/>
          <w:caps w:val="false"/>
          <w:smallCaps w:val="false"/>
          <w:sz w:val="20"/>
        </w:rPr>
        <w:t>Availability Date</w:t>
      </w:r>
      <w:r>
        <w:rPr>
          <w:rFonts w:ascii="Times New Roman;Times;Serif" w:hAnsi="Times New Roman;Times;Serif"/>
          <w:b w:val="false"/>
          <w:i w:val="false"/>
          <w:caps w:val="false"/>
          <w:smallCaps w:val="false"/>
          <w:sz w:val="20"/>
        </w:rPr>
        <w:t>” means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end of such fourth fiscal quarter); provided that the Company will be deemed to have made available such statement to its security holders to the extent it is filed or furnished in EDGAR.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 xml:space="preserve">. The Company shall register or qualify or cooperate with the Holder and its counsel in connection with the registration or qualification of the Holder’s Registrable Securities for the offer and sale under the securities or blue sky laws of such jurisdictions reasonably requested by the Holder; provided, however, that the Company shall not be required in connection therewith or as a condition thereto to (i) qualify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(ii) subject itself to general taxation in any jurisdiction where it would not otherwise be so subject but for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or (iii) file a general consent to service of process in any such jurisdiction.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With a view to making available to the Holder the benefits of Rule 144 (or its successor rule) and any other rule or regulation of the SEC that may at any time permit the Holder to sell Ordinary Shares to the public without registration, the Company covenants and agrees to: (i) make and keep adequate current public information available, as those terms are understood and defined in Rule 144, until the earlier of (x) six months after such date as all of the Registrable Securities may be sold without restriction by the Holder pursuant to Rule 144 or any other rule of similar effect or (y) such date as there are no longer Registrable Securities; (ii) file with the SEC in a timely manner all reports and other documents required of the Company under the Exchange Act; and (iii) furnish electronically to the Holder upon request, as long as the Holder owns any Registrable Securities, (x) a written statement by the Company that it has complied with the reporting requirements of the Exchange Act, (y) a copy of or electronic access to the Company’s most recent Annual Report on 20-F or interim financial statements on Form 6-K, and (z) such other information as may be reasonably requested in order to avail the Holder of any rule or regulation of the SEC that permits the selling of any such Registrable Securities without registration.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If requested by the Holder, the Company shall cooperate with the Holder to facilitate the timely preparation and delivery of certificates or uncertificated shares representing the Registrable Securities to be sold pursuant to such Registration Statement or Rule 144 free of any restrictive legends and representing such number of Ordinary Shares and registered in such names as the Holder may reasonably request to the extent permitted by such Registration Statement or Rule 144 to effect sales of Registrable Securities. For the avoidance of doubt, the Company may satisfy its obligations hereunder without issuing physical share certificates through the use of The Depository Trust Company’s Direct Registration System.</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5"/>
        <w:gridCol w:w="9593"/>
      </w:tblGrid>
      <w:tr>
        <w:trPr/>
        <w:tc>
          <w:tcPr>
            <w:tcW w:w="9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4.</w:t>
            </w:r>
          </w:p>
        </w:tc>
        <w:tc>
          <w:tcPr>
            <w:tcW w:w="9593" w:type="dxa"/>
            <w:tcBorders/>
            <w:vAlign w:val="center"/>
          </w:tcPr>
          <w:p>
            <w:pPr>
              <w:pStyle w:val="TableContents"/>
              <w:bidi w:val="0"/>
              <w:spacing w:before="0" w:after="283"/>
              <w:jc w:val="left"/>
              <w:rPr/>
            </w:pPr>
            <w:r>
              <w:rPr/>
              <w:t>OBLIGATIONS OF THE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xml:space="preserve">. The Holder shall provide a completed questionnaire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in connection with the registration of the Registrable Securities. If the Company has not received such completed questionnaire from the Holder within three Business Days of the Company’s request, the Company may file the Registration Statement without including the Holder’s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Holder agrees that, upon receipt of any notice from the Company of the existence of an Allowed Delay or a Suspension Event as set forth in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the Holder will immediately discontinue disposition of Registrable Securities pursuant to any Registration Statement covering such Registrable Securities until the Holder’s receipt of a notice from the Company confirming the resolution of such Allowed Delay or Suspension Event and that such dispositions may again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Cooperation</w:t>
      </w:r>
      <w:r>
        <w:rPr>
          <w:rFonts w:ascii="Times New Roman;Times;Serif" w:hAnsi="Times New Roman;Times;Serif"/>
          <w:b w:val="false"/>
          <w:i w:val="false"/>
          <w:caps w:val="false"/>
          <w:smallCaps w:val="false"/>
          <w:sz w:val="20"/>
        </w:rPr>
        <w:t>. The Holder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the exclusion of such Investor’s Registrable Securities from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542"/>
        <w:gridCol w:w="9561"/>
      </w:tblGrid>
      <w:tr>
        <w:trPr/>
        <w:tc>
          <w:tcPr>
            <w:tcW w:w="1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5.</w:t>
            </w:r>
          </w:p>
        </w:tc>
        <w:tc>
          <w:tcPr>
            <w:tcW w:w="9561" w:type="dxa"/>
            <w:tcBorders/>
            <w:vAlign w:val="center"/>
          </w:tcPr>
          <w:p>
            <w:pPr>
              <w:pStyle w:val="TableContents"/>
              <w:bidi w:val="0"/>
              <w:spacing w:before="0" w:after="283"/>
              <w:jc w:val="left"/>
              <w:rPr/>
            </w:pPr>
            <w:r>
              <w:rPr/>
              <w:t>EXPENSES OF 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Expenses incurred in connection with the Company’s performance of, or compliance with this Agreement, including the registrations pursuant to this Agreement, shall be borne by the Company. In no event shall the Company be responsible for any Selling Expenses or any legal fees of the Holder.</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809"/>
        <w:gridCol w:w="9243"/>
      </w:tblGrid>
      <w:tr>
        <w:trPr/>
        <w:tc>
          <w:tcPr>
            <w:tcW w:w="1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6.</w:t>
            </w:r>
          </w:p>
        </w:tc>
        <w:tc>
          <w:tcPr>
            <w:tcW w:w="9243" w:type="dxa"/>
            <w:tcBorders/>
            <w:vAlign w:val="center"/>
          </w:tcPr>
          <w:p>
            <w:pPr>
              <w:pStyle w:val="TableContents"/>
              <w:bidi w:val="0"/>
              <w:spacing w:before="0" w:after="283"/>
              <w:jc w:val="left"/>
              <w:rPr/>
            </w:pPr>
            <w:r>
              <w:rPr/>
              <w:t>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and notwithstanding any termination of this Agreement, the Company will, and hereby does, indemnify, hold harmless and defend the Holder, each Person, if any, who controls the Holder within the meaning of the Securities Act or the Exchange Act, the members, the directors, officers, partners, employees, members, managers, agents, representatives and advisors of each of the foregoing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any losses, obligations, claims, damages, liabilities, judgments, fines, penalties, charges, costs (including, without limitation, court costs and costs of preparation), reasonable and documented attorneys’ fees, amounts paid in settlement or reasonable and documented expenses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Person is or may be a party thereto (“</w:t>
      </w:r>
      <w:r>
        <w:rPr>
          <w:rFonts w:ascii="Times New Roman;Times;Serif" w:hAnsi="Times New Roman;Times;Serif"/>
          <w:b/>
          <w:i w:val="false"/>
          <w:caps w:val="false"/>
          <w:smallCaps w:val="false"/>
          <w:sz w:val="20"/>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contained in any Registration Statement, any preliminary Prospectus or final Prospectus, or any amendment or supplement thereof, or any omission or alleged omission of any material fact with respect to any of the foregoing required to be stated therein or necessary to make the statements therein (in the case of any Prospectus or supplement thereto, in light of the circumstances under which they were made) not misleading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Times;Serif" w:hAnsi="Times New Roman;Times;Serif"/>
          <w:b/>
          <w:i w:val="false"/>
          <w:caps w:val="false"/>
          <w:smallCaps w:val="false"/>
          <w:sz w:val="20"/>
        </w:rPr>
        <w:t>Violations</w:t>
      </w:r>
      <w:r>
        <w:rPr>
          <w:rFonts w:ascii="Times New Roman;Times;Serif" w:hAnsi="Times New Roman;Times;Serif"/>
          <w:b w:val="false"/>
          <w:i w:val="false"/>
          <w:caps w:val="false"/>
          <w:smallCaps w:val="false"/>
          <w:sz w:val="20"/>
        </w:rPr>
        <w:t xml:space="preserve">”).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 shall not apply to a Claim by an Indemnified Person to the extent that such untrue statement or omission is contained in information furnished in writing to the Company by the Holder specifically for use in such Registration Statement or Prospectus and was reviewed and approved in writing by the Holder expressly for use in connection with the preparation of any Registration Statement, any Prospectus or any such amendment thereof or supplement thereto; and (y)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Initial Registration Statement, any New Registration Statement or any Prospectus, the Holder agrees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against any Claims resulting from any untrue or alleged untrue statement of a material fact contained in any such Initial Registration Statement, New Registration Statement or Prospectus, or any omission or alleged omission of a material fact required to be stated therein or necessary to make the statements therein (in the case of any Prospectus or supplement thereto, in light of the circumstances under which they were made) not misleading, in each case to the extent, and only to the extent, that such untrue statement or omission occurs in reliance upon and in conformity with information about the Holder furnished in writing by the Holder to the Company specifically for use therein and was reviewed and approved in writing by the Holder expressly for use in connection with the preparation of the Registration Statement, any New Registration Statement, any Prospectus or any such amendment thereof or supplement thereto. In no event shall the liability of the Holder be greater in amount than the dollar amount of the proceeds (net of all expenses paid by the Holder in connection with any Claim relating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the amount of any damages the Holder has otherwise been required to pay by reason of such untrue statement or omission) received by the Holder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Person or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or (ii) the indemnifying party shall have failed to promptly assume the defense of such action or proceeding and to employ counsel reasonably satisfactory to the Indemnified Person or Indemnified Party, as applicable.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except to the extent that the indemnifying party is materially and actually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indemnification required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Person is later determined to not be entitled to such payment shall return such payment (including reimbursement of expenses) to the Person making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937"/>
        <w:gridCol w:w="9091"/>
      </w:tblGrid>
      <w:tr>
        <w:trPr/>
        <w:tc>
          <w:tcPr>
            <w:tcW w:w="17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7.</w:t>
            </w:r>
          </w:p>
        </w:tc>
        <w:tc>
          <w:tcPr>
            <w:tcW w:w="9091" w:type="dxa"/>
            <w:tcBorders/>
            <w:vAlign w:val="center"/>
          </w:tcPr>
          <w:p>
            <w:pPr>
              <w:pStyle w:val="TableContents"/>
              <w:bidi w:val="0"/>
              <w:spacing w:before="0" w:after="283"/>
              <w:jc w:val="left"/>
              <w:rPr/>
            </w:pPr>
            <w:r>
              <w:rPr/>
              <w:t>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to the fullest extent permitted by law; provided, however, that: contribution by the Holder shall be limited in amount to the net amount of proceeds (net of all expenses paid by the Holder in connection with any claim relating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the amount of any damages the Holder has otherwise been required to pay by reason of such untrue or alleged untrue statement or omission or alleged omission) received by the Holder from the sale of such Registrable Securities giving rise to such contribution obligation.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02"/>
        <w:gridCol w:w="9727"/>
      </w:tblGrid>
      <w:tr>
        <w:trPr/>
        <w:tc>
          <w:tcPr>
            <w:tcW w:w="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8.</w:t>
            </w:r>
          </w:p>
        </w:tc>
        <w:tc>
          <w:tcPr>
            <w:tcW w:w="9727" w:type="dxa"/>
            <w:tcBorders/>
            <w:vAlign w:val="center"/>
          </w:tcPr>
          <w:p>
            <w:pPr>
              <w:pStyle w:val="TableContents"/>
              <w:bidi w:val="0"/>
              <w:spacing w:before="0" w:after="283"/>
              <w:jc w:val="left"/>
              <w:rPr/>
            </w:pPr>
            <w:r>
              <w:rPr/>
              <w:t>ASSIGNMENT OF REGISTRATION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assign this Agreement or any rights or obligations hereunder (whether by operation of law or otherwise) without the prior written consent of the Holder;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Holder in connection with such transaction unless such securities are otherwise freely tradable by the Holder after giving effect to such transaction, and the prior written consent of the Holder shall not be required for such transaction.</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not assign its respective rights hereunder without the prior written consent of the Company.</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shall be binding upon and inure to the benefit of each party and its successors and permitted assigns.</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3"/>
        <w:gridCol w:w="9571"/>
      </w:tblGrid>
      <w:tr>
        <w:trPr/>
        <w:tc>
          <w:tcPr>
            <w:tcW w:w="1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9.</w:t>
            </w:r>
          </w:p>
        </w:tc>
        <w:tc>
          <w:tcPr>
            <w:tcW w:w="9571" w:type="dxa"/>
            <w:tcBorders/>
            <w:vAlign w:val="center"/>
          </w:tcPr>
          <w:p>
            <w:pPr>
              <w:pStyle w:val="TableContents"/>
              <w:bidi w:val="0"/>
              <w:spacing w:before="0" w:after="283"/>
              <w:jc w:val="left"/>
              <w:rPr/>
            </w:pPr>
            <w:r>
              <w:rPr/>
              <w:t>AMENDMENTS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including the provisions of this sentence, may be amended, modified or supplemented, or waived only by a written instrument executed by (i) the Company and (ii) the Holder.</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pPr>
            <w:r>
              <w:rPr/>
              <w:t>10.</w:t>
            </w:r>
          </w:p>
        </w:tc>
        <w:tc>
          <w:tcPr>
            <w:tcW w:w="8740" w:type="dxa"/>
            <w:tcBorders/>
            <w:vAlign w:val="center"/>
          </w:tcPr>
          <w:p>
            <w:pPr>
              <w:pStyle w:val="TableContents"/>
              <w:bidi w:val="0"/>
              <w:spacing w:before="0" w:after="283"/>
              <w:jc w:val="left"/>
              <w:rPr/>
            </w:pPr>
            <w:r>
              <w:rPr/>
              <w:t>MISCELLANEOUS.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(i) when delivered if personally delivered to the party for whom it is intended, (ii) when delivered, if sent by electronic mail during normal business hours of the recipient, and if not sent during normal business hours, then on the earlier of (x) confirmation of receipt or (y) the open of business on recipient’s next Business Day, in each case, provided no undeliverable notice is received, (iii) three days after having been sent by certified or registered mail, return-receipt requested and postage prepaid, or (iv) one Business Day after deposit with a nationally recognized overnight courier, freight prepaid, specifying next Business Day delivery, with written verification of receipt: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addressed as follows:</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w:t>
        <w:br/>
        <w:t>No. 266A South Bridge Road, #02-01</w:t>
        <w:br/>
        <w:t>Singapore, 058815</w:t>
        <w:br/>
        <w:t>Singapore</w:t>
        <w:br/>
        <w:t>Email: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Holder, addressed as follows:</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Science Artist Holding Limited</w:t>
        <w:br/>
        <w:t xml:space="preserve">Asia Leading Chambers, Road Town, Tortola VG1110, British </w:t>
        <w:br/>
        <w:t>Virgin Islands</w:t>
        <w:br/>
        <w:t>Email: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NOTWITHSTANDING THE PLACE WHERE THIS AGREEMENT MAY BE EXECUTED BY ANY OF THE PARTIES HERETO, THE PARTIES EXPRESSLY AGREE THAT THIS AGREEMENT SHALL BE GOVERNED BY AND CONSTRUED UNDER THE INTERNAL LAWS OF THE STATE OF NEW YORK AS APPLIED TO AGREEMENTS AMONG NEW YORK RESIDENTS ENTERED INTO AND TO BE PERFORMED ENTIRELY WITHIN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This Agreement is the joint product of the Holder and the Company and each provision hereof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that the Indemnified Persons and Indemnified Parties are intended third-party beneficiaries of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Holder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Holder or of any affiliates or assignees thereof, as such for any obligation of the Holder under this Agreement or any documents or instruments delivered in connection with this Agreement for any claim based on, in respect of or by reason of such obligations or their creation.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In addition to any and all other remedies that may be available at law in the event of any breach of this Agreement, each Holder shall be entitled to specific performance of the agreements and obligations of the Company hereunder and to such other injunction or other equitable relief as may be granted by a court of competent jurisdiction.</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the date first written above.</w:t>
      </w:r>
    </w:p>
    <w:p>
      <w:pPr>
        <w:pStyle w:val="TextBody"/>
        <w:bidi w:val="0"/>
        <w:spacing w:before="0" w:after="0"/>
        <w:ind w:left="0" w:right="0" w:firstLine="144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5"/>
        <w:gridCol w:w="635"/>
        <w:gridCol w:w="1115"/>
      </w:tblGrid>
      <w:tr>
        <w:trPr/>
        <w:tc>
          <w:tcPr>
            <w:tcW w:w="75" w:type="dxa"/>
            <w:tcBorders/>
            <w:vAlign w:val="center"/>
          </w:tcPr>
          <w:p>
            <w:pPr>
              <w:pStyle w:val="TableContents"/>
              <w:bidi w:val="0"/>
              <w:spacing w:before="0" w:after="283"/>
              <w:jc w:val="left"/>
              <w:rPr/>
            </w:pPr>
            <w:r>
              <w:rPr/>
              <w:t> </w:t>
            </w:r>
          </w:p>
        </w:tc>
        <w:tc>
          <w:tcPr>
            <w:tcW w:w="1750"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50" w:type="dxa"/>
            <w:gridSpan w:val="2"/>
            <w:tcBorders/>
            <w:vAlign w:val="center"/>
          </w:tcPr>
          <w:p>
            <w:pPr>
              <w:pStyle w:val="TableContents"/>
              <w:bidi w:val="0"/>
              <w:spacing w:before="0" w:after="283"/>
              <w:jc w:val="left"/>
              <w:rPr>
                <w:b/>
                <w:sz w:val="20"/>
              </w:rPr>
            </w:pPr>
            <w:r>
              <w:rPr>
                <w:b/>
                <w:sz w:val="20"/>
              </w:rPr>
              <w:t>SAIHEAT Limited</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By: </w:t>
            </w:r>
          </w:p>
        </w:tc>
        <w:tc>
          <w:tcPr>
            <w:tcW w:w="111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Jianwei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115" w:type="dxa"/>
            <w:tcBorders/>
            <w:vAlign w:val="center"/>
          </w:tcPr>
          <w:p>
            <w:pPr>
              <w:pStyle w:val="TableContents"/>
              <w:bidi w:val="0"/>
              <w:spacing w:before="0" w:after="283"/>
              <w:jc w:val="left"/>
              <w:rPr>
                <w:sz w:val="20"/>
              </w:rPr>
            </w:pPr>
            <w:r>
              <w:rPr>
                <w:sz w:val="20"/>
              </w:rPr>
              <w:t>Jianwei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Title:</w:t>
            </w:r>
          </w:p>
        </w:tc>
        <w:tc>
          <w:tcPr>
            <w:tcW w:w="1115" w:type="dxa"/>
            <w:tcBorders/>
            <w:vAlign w:val="center"/>
          </w:tcPr>
          <w:p>
            <w:pPr>
              <w:pStyle w:val="TableContents"/>
              <w:bidi w:val="0"/>
              <w:spacing w:before="0" w:after="283"/>
              <w:jc w:val="left"/>
              <w:rPr/>
            </w:pPr>
            <w:r>
              <w:rPr/>
              <w:t>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the date first written above.</w:t>
      </w:r>
    </w:p>
    <w:p>
      <w:pPr>
        <w:pStyle w:val="TextBody"/>
        <w:bidi w:val="0"/>
        <w:spacing w:before="0" w:after="0"/>
        <w:ind w:left="0" w:right="0" w:firstLine="1440"/>
        <w:jc w:val="left"/>
        <w:rPr/>
      </w:pPr>
      <w:r>
        <w:rPr>
          <w:caps w:val="false"/>
          <w:smallCaps w:val="false"/>
        </w:rPr>
        <w:t> </w:t>
      </w:r>
      <w:r>
        <w:rPr/>
        <w:t xml:space="preserve"> </w:t>
      </w:r>
    </w:p>
    <w:tbl>
      <w:tblPr>
        <w:tblW w:w="3394" w:type="dxa"/>
        <w:jc w:val="left"/>
        <w:tblInd w:w="0" w:type="dxa"/>
        <w:tblLayout w:type="fixed"/>
        <w:tblCellMar>
          <w:top w:w="0" w:type="dxa"/>
          <w:left w:w="0" w:type="dxa"/>
          <w:bottom w:w="0" w:type="dxa"/>
          <w:right w:w="0" w:type="dxa"/>
        </w:tblCellMar>
      </w:tblPr>
      <w:tblGrid>
        <w:gridCol w:w="75"/>
        <w:gridCol w:w="1064"/>
        <w:gridCol w:w="2255"/>
      </w:tblGrid>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HOLDER:</w:t>
            </w:r>
          </w:p>
        </w:tc>
      </w:tr>
      <w:tr>
        <w:trPr/>
        <w:tc>
          <w:tcPr>
            <w:tcW w:w="7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b/>
                <w:sz w:val="20"/>
              </w:rPr>
            </w:pPr>
            <w:r>
              <w:rPr>
                <w:b/>
                <w:sz w:val="20"/>
              </w:rPr>
              <w:t>Energy Science Artist Holding Limited</w:t>
            </w:r>
          </w:p>
        </w:tc>
      </w:tr>
      <w:tr>
        <w:trPr/>
        <w:tc>
          <w:tcPr>
            <w:tcW w:w="7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20"/>
              </w:rPr>
            </w:pPr>
            <w:r>
              <w:rPr>
                <w:sz w:val="20"/>
              </w:rPr>
              <w:t>By:</w:t>
            </w:r>
          </w:p>
        </w:tc>
        <w:tc>
          <w:tcPr>
            <w:tcW w:w="22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Zhang Peng</w:t>
            </w:r>
          </w:p>
        </w:tc>
      </w:tr>
      <w:tr>
        <w:trPr/>
        <w:tc>
          <w:tcPr>
            <w:tcW w:w="7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20"/>
              </w:rPr>
            </w:pPr>
            <w:r>
              <w:rPr>
                <w:sz w:val="20"/>
              </w:rPr>
              <w:t>Name: </w:t>
            </w:r>
          </w:p>
        </w:tc>
        <w:tc>
          <w:tcPr>
            <w:tcW w:w="2255" w:type="dxa"/>
            <w:tcBorders/>
            <w:vAlign w:val="center"/>
          </w:tcPr>
          <w:p>
            <w:pPr>
              <w:pStyle w:val="TableContents"/>
              <w:bidi w:val="0"/>
              <w:spacing w:before="0" w:after="283"/>
              <w:jc w:val="left"/>
              <w:rPr>
                <w:sz w:val="20"/>
              </w:rPr>
            </w:pPr>
            <w:r>
              <w:rPr>
                <w:sz w:val="20"/>
              </w:rPr>
              <w:t>Zhang Peng</w:t>
            </w:r>
          </w:p>
        </w:tc>
      </w:tr>
      <w:tr>
        <w:trPr/>
        <w:tc>
          <w:tcPr>
            <w:tcW w:w="7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20"/>
              </w:rPr>
            </w:pPr>
            <w:r>
              <w:rPr>
                <w:sz w:val="20"/>
              </w:rPr>
              <w:t>Title:</w:t>
            </w:r>
          </w:p>
        </w:tc>
        <w:tc>
          <w:tcPr>
            <w:tcW w:w="2255" w:type="dxa"/>
            <w:tcBorders/>
            <w:vAlign w:val="center"/>
          </w:tcPr>
          <w:p>
            <w:pPr>
              <w:pStyle w:val="TableContents"/>
              <w:bidi w:val="0"/>
              <w:spacing w:before="0" w:after="283"/>
              <w:jc w:val="left"/>
              <w:rPr>
                <w:sz w:val="20"/>
              </w:rPr>
            </w:pPr>
            <w:r>
              <w:rPr>
                <w:sz w:val="20"/>
              </w:rPr>
              <w:t xml:space="preserve">Director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30130601ex10-4.htm"/>
      <w:bookmarkStart w:id="11" w:name="ksea030130601ex104"/>
      <w:bookmarkEnd w:id="10"/>
      <w:bookmarkEnd w:id="11"/>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EXHIBIT THAT ARE NOT MATERIAL AND IS THE TYPE OF INFORMATION THAT THE REGISTRANT TREATS AS PRIVATE OR CONFIDENTIAL HAVE BEEN REDACTED PURSUANT TO ITEM 601(b)(10)(iv) OF REGULATION S-K. [****] INDICATES THAT INFORMATION HAS BEEN REDACTED.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Support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August 10, 2026, and is entered into by and between SAIHEAT Limited, a Cayman Islands exempted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Energy Science Artist Holding Limited, a British Virgin Islands business company (“</w:t>
      </w: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Capitalized terms used but not defined herein shall have the meanings ascribed to them in the Merger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Saiheat Merger Sub, Inc., a Delaware corporation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Canopy Wave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Taoyue (Tao) Zhang, and Chunyi (James) Liao (together,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are concurrently entering into that certain Agreement and Plan of Merger, dated as of August 10, 2026 (as amended, supplemented, or otherwise modified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the Company will merge with and into Merger Sub, with Merger Sub surviving as a wholly owned subsidiary of Parent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all other transactions contemplated by the Merger Agreement, the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Shareholder is the registered and beneficial owner of all issued and outstanding Parent Class B Ordinary Shares (the “</w:t>
      </w:r>
      <w:r>
        <w:rPr>
          <w:rFonts w:ascii="Times New Roman;Times;Serif" w:hAnsi="Times New Roman;Times;Serif"/>
          <w:b/>
          <w:i w:val="false"/>
          <w:caps w:val="false"/>
          <w:smallCaps w:val="false"/>
          <w:sz w:val="20"/>
        </w:rPr>
        <w:t>Subject Shares</w:t>
      </w:r>
      <w:r>
        <w:rPr>
          <w:rFonts w:ascii="Times New Roman;Times;Serif" w:hAnsi="Times New Roman;Times;Serif"/>
          <w:b w:val="false"/>
          <w:i w:val="false"/>
          <w:caps w:val="false"/>
          <w:smallCaps w:val="false"/>
          <w:sz w:val="20"/>
        </w:rPr>
        <w:t>”), which represents 84.12% of the total voting power of Parent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Company’s obligation to consummate the Merger, the Merger Agreement requires, among other things, all issued and outstanding Parent Class B Ordinary Shares to be converted into Parent Class A Ordinary Shares immediately prior to the Closing;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for the Company and the Sellers to enter into the Merger Agreement, Shareholder is willing to enter into this Agreement and make the commitments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for other good and valuable consideration, the receipt and sufficiency of which are hereby acknowledged, the parties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I </w:t>
      </w:r>
      <w:r>
        <w:rPr>
          <w:rFonts w:ascii="Times New Roman;Times;Serif" w:hAnsi="Times New Roman;Times;Serif"/>
          <w:b/>
          <w:i w:val="false"/>
          <w:caps w:val="false"/>
          <w:smallCaps w:val="false"/>
          <w:sz w:val="20"/>
        </w:rPr>
        <w:t>— SUPPORT OBLIGATIONS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Agreement to Support and Approve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irrevocably: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approves the Merger Agreement and the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agrees to vote (in person, by proxy, or by written consent) all Subject Shares, and any other Parent Ordinary Shares and equity securities of Parent owned or acquired by Shareholder from time to time (whether beneficially or of record) (collectively with the Subject Shares, the “</w:t>
      </w:r>
      <w:r>
        <w:rPr>
          <w:rFonts w:ascii="Times New Roman;Times;Serif" w:hAnsi="Times New Roman;Times;Serif"/>
          <w:b/>
          <w:i w:val="false"/>
          <w:caps w:val="false"/>
          <w:smallCaps w:val="false"/>
          <w:sz w:val="20"/>
        </w:rPr>
        <w:t>Voting Securities</w:t>
      </w:r>
      <w:r>
        <w:rPr>
          <w:rFonts w:ascii="Times New Roman;Times;Serif" w:hAnsi="Times New Roman;Times;Serif"/>
          <w:b w:val="false"/>
          <w:i w:val="false"/>
          <w:caps w:val="false"/>
          <w:smallCaps w:val="false"/>
          <w:sz w:val="20"/>
        </w:rPr>
        <w:t>”) in favor 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adoption of the A&amp;R Parent MAA conditional upon and effective at the Effective Time, any amendment or alteration of share capital contemplated thereby, and all related special resolutions and ordinary resolutions required in connection with the Transactions;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other shareholder matter reasonably necessary or otherwise reasonably requested by Parent to consummate the Transactions;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agrees to vote all Voting Securities against any proposal, action, or transaction that is intended to or could reasonably be expected to impede, interfere with, delay, prevent, nullify, or adversely affect the Merger Agreement or the Transactions.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Requisite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shall deliver, execute, and provide all consents, approvals, and waivers required under the Existing Parent MAA or applicable law from the holder of Parent Class B Ordinary Shares in connection with the Transactions, the adoption and effectiveness of the A&amp;R Parent MAA (including the amendment and restatement of the Existing Parent MAA as contemplated by Section 4.4 and Section 6.1 of the Merger Agreement), and the issuance of Parent Class B Ordinary Shares in accordance with the Merger Agreement, in each case promptly upon request by Parent and in any event no later than three (3) Business Days prior to the date such consent, approval or waiver is required, including but not limited 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consent in writing of the holders of not less than two-thirds of the issued Parent Class B Ordinary Shares, in accordance with Article 10.1 of the Existing Parent MAA;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written consent or vote of a majority of the voting power of the Parent Class B Ordinary Shares, voting exclusively and as a separate class, in accordance with Article 17.3 of the Existing Parent MAA.</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Appearance; Quorum.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duly convened meeting of Parent shareholders, Shareholder shall appear in person or by proxy for purposes of constituting a quorum and shall take all actions necessary to cause the Subject Shares to be counted as present.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Irrevocable Proxy.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irrevocably appoints Parent and any designee of Parent, and each of them individually, as Shareholder’s true and lawful proxy and attorney-in-fact (with full power of substitution and resubstitution), for and in the name, place, and stead of Shareholder, to vote (or cause to be voted) the Voting Securities, at any meeting of the shareholders of Parent (whether annual or extraordinary, and at any adjournment or postponement thereof) and in any action by written resolution or written consent in lieu of a meeting, in each case in the manner contemplated by Section 1.1 and Section 1.2 of this Agreement. This proxy is: (a) coupled with an interest sufficient in law to support an irrevocable proxy, such interest arising from, among other things, Parent’s rights under this Agreement and under the Merger Agreement and the consideration to be received in connection with the Transactions; (b) irrevocable and shall not be terminated by operation of law (including by reason of any Encumbrance, disability, incapacity, or death of Shareholder, or the bankruptcy, dissolution, liquidation, or winding up of Shareholder), by act of Shareholder, or otherwise, until the termination of this Agreement in accordance with Section 6.1; and (c) granted as an inducement for the Company and the Sellers to enter into the Merger Agreement. If Shareholder fails for any reason to vote the Voting Securities in accordance with the requirements of Section 1.1 and Section 1.2, Parent shall have the right to vote such shares in accordance with the terms thereof by exercise of this proxy. The proxy granted by this Section 1.4 shall revoke any and all prior proxies granted by Shareholder with respect to the Voting Securities and shall expire automatically and immediately upon termination of this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Voting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intended to constitute a valid and binding arrangement governing the exercise of voting rights attaching to the Voting Securities in accordance with the articles of association of Parent. Each party agrees to take all actions, and to execute and deliver all further instruments and documents, as may be reasonably necessary to give full effect to this Agreement as a voting agreement under Cayman Islands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II </w:t>
      </w:r>
      <w:r>
        <w:rPr>
          <w:rFonts w:ascii="Times New Roman;Times;Serif" w:hAnsi="Times New Roman;Times;Serif"/>
          <w:b/>
          <w:i w:val="false"/>
          <w:caps w:val="false"/>
          <w:smallCaps w:val="false"/>
          <w:sz w:val="20"/>
        </w:rPr>
        <w:t>— CONVERSION OF PARENT CLASS B ORDINARY SHARES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Conversion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irrevocably agrees that, immediately prior to the Closing, and subject to the terms and conditions of this Agreement and the Merger Agreement, all Subject Shares shall be converted into Parent Class A Ordinary Shares on a one-for-one basis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in accordance with and pursuant to the applicable provisions of the Existing Parent MAA (including, without limitation, any article thereof providing for the conversion of Parent Class B Ordinary Shares into Parent Class A Ordinary Shares) and the Companies Act (As Revised) of the Cayman Islands. To the extent that the Conversion requires any act, election, notice, consent, resolution (whether board or shareholder), instrument, or filing under the Existing Parent MAA, or applicable Cayman Islands law, Shareholder hereby irrevocably (a) consents to and approves the Conversion, (b) agrees to take, and to cause to be taken, all actions (including delivering any required conversion notice, executing any required written resolution, voting in favor of any required resolution, and surrendering any applicable share certificates) necessary or reasonably desirable to effect the Conversion, (c) waives any and all conditions, restrictions, or rights (including any right of first refusal, preemptive right, anti-dilution right, or similar right) that would prevent, delay, or condition the Conversion, and (d) authorizes and directs Parent’s board of directors to take all steps within its authority under the Existing Parent MAA and applicable law to register the Conversion and update the register of members of Parent to reflect the Conversion, in each case so that no Parent Class B Ordinary Shares remain issued and outstanding immediately prior to the Effective Time. Shareholder acknowledges that the Conversion is a material inducement to the Company and the Sellers entering into the Merger Agreement and that the Company and the Sellers are relying on Shareholder’s commitments under this Section 2.1 and the enforceability thereof.</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Conversion Deliverables.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shall execute and deliver to Parent, promptly upon request, all notices, instruments, letters of transmittal, share certificates (if applicable), director or shareholder resolutions, and any other documentation reasonably necessary to effect, evidence, and record the Conversion, including to support delivery of an updated register of members of Parent reflecting the Conversion.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 Further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hereof until the Closing, Shareholder shall not take any action (and shall not consent to any action) that would result in the issuance, creation, or existence of any additional Parent Class B Ordinary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III </w:t>
      </w:r>
      <w:r>
        <w:rPr>
          <w:rFonts w:ascii="Times New Roman;Times;Serif" w:hAnsi="Times New Roman;Times;Serif"/>
          <w:b/>
          <w:i w:val="false"/>
          <w:caps w:val="false"/>
          <w:smallCaps w:val="false"/>
          <w:sz w:val="20"/>
        </w:rPr>
        <w:t>— REPRESENTATIONS AND WARRANTIES OF SHAREHOLDER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represents and warrants, as of the date of this Agreement and immediately prior to the Closing Date, that Shareholder is and/or will be, as applicable, the sole registered and beneficial owner of the Subject Shares, being the total number of Parent Class B Ordinary Shares set forth in Section 4.6(a) of the Parent Disclosure Schedule (as defined in the Merger Agreement), and holds no other Parent Ordinary Shares or other equity securities of Parent. Shareholder has good and valid title to all Subject Shares, free and clear of any and all liens, pledges, charges, encumbrances, options, rights of first refusal, voting trusts, voting agreements, proxies, or other restrictions or encumbrances of any nature whatsoever (collectively, “</w:t>
      </w:r>
      <w:r>
        <w:rPr>
          <w:rFonts w:ascii="Times New Roman;Times;Serif" w:hAnsi="Times New Roman;Times;Serif"/>
          <w:b/>
          <w:i w:val="false"/>
          <w:caps w:val="false"/>
          <w:smallCaps w:val="false"/>
          <w:sz w:val="20"/>
        </w:rPr>
        <w:t>Encumbrances</w:t>
      </w:r>
      <w:r>
        <w:rPr>
          <w:rFonts w:ascii="Times New Roman;Times;Serif" w:hAnsi="Times New Roman;Times;Serif"/>
          <w:b w:val="false"/>
          <w:i w:val="false"/>
          <w:caps w:val="false"/>
          <w:smallCaps w:val="false"/>
          <w:sz w:val="20"/>
        </w:rPr>
        <w:t>”), other than those arising under this Agreement, the Existing Parent MAA, or applicable securities laws.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No Transfer of Ownership or Voting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represents and warrants, as of the date of this Agreement and as of the Closing Date, that Shareholder has not, at any time prior to the date hereof: (a) sold, transferred, assigned, pledged, hypothecated, or otherwise disposed of, or agreed to dispose of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any Subject Shares or any interest therein, or entered into any agreement, arrangement or undertaking with respect to the foregoing; (b) granted any proxy, power of attorney, voting trust, or other voting arrangement with respect to any Subject Shares (other than any proxy or voting arrangement revoked pursuant to Section 4.2); or (c) entered into any swap, hedge, or other arrangement that transfers to any Person, in whole or in part, any of the economic consequences of ownership of any Subject Shares. No Person other than Shareholder has any right, title, or interest (legal or beneficial) in or to any Subject Shares, or any right to vote or direct the voting of any Subject Shares.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No Outstanding Proxies or Voting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represents and warrants, as of the date of this Agreement and as of the Closing Date, that there are no proxies, powers of attorney, voting trusts, voting agreements, or other arrangements or understandings (whether written or oral) outstanding with respect to the voting or disposition of any Subject Shares, other than those arising under this Agreement, the Existing Parent MAA, or as expressly contemplated by the Merger Agreement. To the extent any such proxy, power of attorney, or voting arrangement exists, it is hereby revoked in its entirety pursuant to Section 4.2.</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Authority; Binding Obligation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represents and warrants, as of the date of this Agreement and as of the Closing Date, that Shareholder has full legal capacity, power, and authority to execute, deliver, and perform this Agreement and all obligations hereunder. This Agreement has been duly authorized, executed, and delivered by Shareholder and constitutes the legal, valid, and binding obligation of Shareholder, enforceable against Shareholder in accordance with its terms, subject to applicable bankruptcy, insolvency, reorganization, moratorium, and similar laws affecting creditors’ rights generally and to general principles of equity.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IV </w:t>
      </w:r>
      <w:r>
        <w:rPr>
          <w:rFonts w:ascii="Times New Roman;Times;Serif" w:hAnsi="Times New Roman;Times;Serif"/>
          <w:b/>
          <w:i w:val="false"/>
          <w:caps w:val="false"/>
          <w:smallCaps w:val="false"/>
          <w:sz w:val="20"/>
        </w:rPr>
        <w:t>— TRANSFER RESTRICTIONS AND PROXY REVOCATION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No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hereof until termination of this Agreement pursuant to Section 6.1, except as otherwise contemplated by the Merger Agreement, Shareholder shall not, directly or indirectly: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Voting Securities or any interest therein, or enter into any agreement, arrangement or understanding with respect to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grant any proxy, power of attorney, or other authorization with respect to any Voting Securities in a manner inconsistent with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enter into any voting trust, vote pooling arrangement, or other agreement with respect to the vote of any Voting Securities.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Revocation of Existing Proxies.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hereby revokes, effective immediately upon execution of this Agreement, any and all prior proxies, powers of attorney, and voting arrangements granted or entered into with respect to the Subject Shares that are inconsistent with this Agreement, to the extent applicable.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Legend; Stop-Transfer Instructions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transfer restrictions set forth in this Article IV, and without limiting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acknowledges and agrees that Parent shall be entitled to cause an appropriate restrictive legend to be placed on any certificate (or book-entry notation) evidencing the Voting Securities (and any Parent Class A Ordinary Shares issued upon conversion thereof), which legend shall be in substantially the following form (or such other form as Cayman Islands counsel may advise is appropriate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HEREBY ARE SUBJECT TO TRANSFER RESTRICTIONS AND OTHER OBLIGATIONS PURSUANT TO A SUPPORT AGREEMENT DATED AS OF AUGUST 10, 2026, BY AND BETWEEN SAIHEAT LIMITED AND THE REGISTERED HOLDER HEREOF, COPIES OF WHICH ARE ON FILE WITH SAIHEAT LIMITED. NO TRANSFER OF THESE SHARES MAY BE MADE EXCEPT IN ACCORDANCE WITH THE TERMS OF SUCH SUPPORT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hereby authorized and directed to deliver stop-transfer instructions to its transfer agent, registered office provider, and/or share registrar with respect to the Voting Securities (and any Parent Class A Ordinary Shares issued upon conversion thereof), instructing such transfer agent, registered office provider, and/or share registrar to refuse to register any transfer of such shares that is not made in compliance with this Agreement. Shareholder shall not instruct, request, or cause Parent’s transfer agent, registered office provider, or share registrar to remove or modify any such stop-transfer instructions except in connection with a transfer that is expressly permitted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cause its registered office provider or share registrar to note the restrictions imposed by this Agreement on the register of members of Parent with respect to the Voting Securities.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V </w:t>
      </w:r>
      <w:r>
        <w:rPr>
          <w:rFonts w:ascii="Times New Roman;Times;Serif" w:hAnsi="Times New Roman;Times;Serif"/>
          <w:b/>
          <w:i w:val="false"/>
          <w:caps w:val="false"/>
          <w:smallCaps w:val="false"/>
          <w:sz w:val="20"/>
        </w:rPr>
        <w:t>— FURTHER ASSURANCES; NO IMPEDING ACTIONS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Further Assurances.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shall promptly execute and deliver, or cause to be executed and delivered, such additional consents, resolutions, deeds, instruments, and documents as Parent may reasonably request in order to carry out the Transactions.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No Impeding 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shall not, and shall not permit any affiliate to, exercise any veto right, blocking right, consent right, or similar right (whether contractual, statutory, or otherwise) in a manner that would impede, obstruct, delay, prevent, nullify, or adversely affect the consummation of the Transactions or any obligation of any party under the Merger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VI </w:t>
      </w:r>
      <w:r>
        <w:rPr>
          <w:rFonts w:ascii="Times New Roman;Times;Serif" w:hAnsi="Times New Roman;Times;Serif"/>
          <w:b/>
          <w:i w:val="false"/>
          <w:caps w:val="false"/>
          <w:smallCaps w:val="false"/>
          <w:sz w:val="20"/>
        </w:rPr>
        <w:t>— TERM AND TERMINATION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automatically terminate, without any action by the parties, upon the earliest to occur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termination of the Merger Agreement in accordance with its terms.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Effect of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this Agreement shall become void and of no further force or effect; provided that (i) this Section 6.2 and Article VII shall survive any termination, and (ii) no termination shall relieve any party of liability for any willful and material breach of this Agreement occurring prior to such termination.</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 xml:space="preserve">Article VII </w:t>
      </w:r>
      <w:r>
        <w:rPr>
          <w:rFonts w:ascii="Times New Roman;Times;Serif" w:hAnsi="Times New Roman;Times;Serif"/>
          <w:b/>
          <w:i w:val="false"/>
          <w:caps w:val="false"/>
          <w:smallCaps w:val="false"/>
          <w:sz w:val="20"/>
        </w:rPr>
        <w:t>— MISCELLANEOUS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Governing Law;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internal laws of the State of New York, without regard to conflict of laws principles. Each party agrees that any legal suit, action, or proceeding arising under or relating to this Agreement shall be brought exclusively in any state or federal court located in the State of New York, in the County of New York. Each party submits to the personal jurisdiction of such courts in any such suit, action, or proceeding. Each party irrevocably waives any objection to such venue and agrees not to plead or object based on forum non conveniens.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Third-Party Beneficiaries.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(Canopy Wave Inc.) and the Sellers (each as defined in the Merger Agreement) is an express intended third-party beneficiary of this Agreement, including, without limitation, the obligations of Shareholder set forth in Article I, Article II, Article III, and Article V, and shall have the right to enforce any and all provisions of this Agreement directly against Shareholder as if it were a party hereto, including the right to seek specific performance and injunctive relief as provided in Section 7.3 herein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rights of the Company and the Sellers under this Section 7.2 are in addition to, and not in limitation of, any rights they may have under the Merger Agreement or applicable law. No amendment, modification, or waiver of any provision of this Agreement that would adversely affect the rights of the Company or any Seller as a third-party beneficiary hereunder shall be effective without the prior written consent of the Company and each affected Seller.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Specific Performance.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irreparable harm would result from any breach of this Agreement, that monetary damages would be an inadequate remedy, and that each of the parties, the Sellers, and the Company shall be entitled to injunctive relief and specific performance to enforce the terms hereof without the necessity of proving damages or posting any bond or other security, in addition to any other remedies available at law or in equity.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Waiver of Jury Trial.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AND UNCONDITIONALLY WAIVES ANY RIGHT IT MAY HAVE TO A TRIAL BY JURY IN RESPECT OF ANY ACTION OR PROCEEDING ARISING OUT OF OR RELATING TO THIS AGREEMENT.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Amendments; Waivers.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to this Agreement shall be valid unless made in writing and signed by each party. No waiver of any right hereunder shall be effective unless in writing.</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Entire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of the parties with respect to the subject matter hereof and supersedes all prior agreements and understandings, whether written or oral, relating to such subject matter.</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Severability.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is held invalid or unenforceable, the remaining provisions shall continue in full force and effect, and the parties shall negotiate in good faith to replace the invalid provision with an enforceable one having as close to the same effect as possible.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Counterparts.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(including by electronic signature or .pdf), each of which shall be deemed an original and all of which, taken together, shall constitute one and the same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rest of this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85"/>
        <w:gridCol w:w="1280"/>
        <w:gridCol w:w="75"/>
      </w:tblGrid>
      <w:tr>
        <w:trPr/>
        <w:tc>
          <w:tcPr>
            <w:tcW w:w="785" w:type="dxa"/>
            <w:tcBorders/>
            <w:vAlign w:val="center"/>
          </w:tcPr>
          <w:p>
            <w:pPr>
              <w:pStyle w:val="TableContents"/>
              <w:bidi w:val="0"/>
              <w:spacing w:before="0" w:after="283"/>
              <w:jc w:val="both"/>
              <w:rPr/>
            </w:pPr>
            <w:r>
              <w:rPr/>
              <w:t xml:space="preserve">By: </w:t>
            </w:r>
          </w:p>
        </w:tc>
        <w:tc>
          <w:tcPr>
            <w:tcW w:w="1280" w:type="dxa"/>
            <w:tcBorders>
              <w:bottom w:val="single" w:sz="12" w:space="0" w:color="000000"/>
            </w:tcBorders>
            <w:tcMar>
              <w:bottom w:w="28" w:type="dxa"/>
            </w:tcMar>
            <w:vAlign w:val="center"/>
          </w:tcPr>
          <w:p>
            <w:pPr>
              <w:pStyle w:val="TableContents"/>
              <w:bidi w:val="0"/>
              <w:spacing w:before="0" w:after="283"/>
              <w:jc w:val="both"/>
              <w:rPr/>
            </w:pPr>
            <w:r>
              <w:rPr/>
              <w:t>/s/ Jianwei Li</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pPr>
            <w:r>
              <w:rPr/>
              <w:t xml:space="preserve">Name:  </w:t>
            </w:r>
          </w:p>
        </w:tc>
        <w:tc>
          <w:tcPr>
            <w:tcW w:w="1280" w:type="dxa"/>
            <w:tcBorders/>
            <w:vAlign w:val="center"/>
          </w:tcPr>
          <w:p>
            <w:pPr>
              <w:pStyle w:val="TableContents"/>
              <w:bidi w:val="0"/>
              <w:spacing w:before="0" w:after="283"/>
              <w:jc w:val="both"/>
              <w:rPr/>
            </w:pPr>
            <w:r>
              <w:rPr/>
              <w:t>Jianwei Li</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pPr>
            <w:r>
              <w:rPr/>
              <w:t xml:space="preserve">Title: </w:t>
            </w:r>
          </w:p>
        </w:tc>
        <w:tc>
          <w:tcPr>
            <w:tcW w:w="1280" w:type="dxa"/>
            <w:tcBorders/>
            <w:vAlign w:val="center"/>
          </w:tcPr>
          <w:p>
            <w:pPr>
              <w:pStyle w:val="TableContents"/>
              <w:bidi w:val="0"/>
              <w:spacing w:before="0" w:after="283"/>
              <w:jc w:val="both"/>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660" w:type="dxa"/>
        <w:jc w:val="left"/>
        <w:tblInd w:w="0" w:type="dxa"/>
        <w:tblLayout w:type="fixed"/>
        <w:tblCellMar>
          <w:top w:w="0" w:type="dxa"/>
          <w:left w:w="0" w:type="dxa"/>
          <w:bottom w:w="0" w:type="dxa"/>
          <w:right w:w="0" w:type="dxa"/>
        </w:tblCellMar>
      </w:tblPr>
      <w:tblGrid>
        <w:gridCol w:w="935"/>
        <w:gridCol w:w="650"/>
        <w:gridCol w:w="75"/>
      </w:tblGrid>
      <w:tr>
        <w:trPr/>
        <w:tc>
          <w:tcPr>
            <w:tcW w:w="935" w:type="dxa"/>
            <w:tcBorders/>
            <w:vAlign w:val="center"/>
          </w:tcPr>
          <w:p>
            <w:pPr>
              <w:pStyle w:val="TableContents"/>
              <w:bidi w:val="0"/>
              <w:spacing w:before="0" w:after="283"/>
              <w:jc w:val="both"/>
              <w:rPr/>
            </w:pPr>
            <w:r>
              <w:rPr/>
              <w:t xml:space="preserve">Address: </w:t>
            </w:r>
          </w:p>
        </w:tc>
        <w:tc>
          <w:tcPr>
            <w:tcW w:w="650" w:type="dxa"/>
            <w:tcBorders/>
            <w:vAlign w:val="center"/>
          </w:tcPr>
          <w:p>
            <w:pPr>
              <w:pStyle w:val="TableContents"/>
              <w:bidi w:val="0"/>
              <w:spacing w:before="0" w:after="283"/>
              <w:jc w:val="both"/>
              <w:rPr/>
            </w:pPr>
            <w:r>
              <w:rPr/>
              <w:t>[****]</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both"/>
              <w:rPr/>
            </w:pPr>
            <w:r>
              <w:rPr/>
              <w:t>Email:</w:t>
            </w:r>
          </w:p>
        </w:tc>
        <w:tc>
          <w:tcPr>
            <w:tcW w:w="650" w:type="dxa"/>
            <w:tcBorders/>
            <w:vAlign w:val="center"/>
          </w:tcPr>
          <w:p>
            <w:pPr>
              <w:pStyle w:val="TableContents"/>
              <w:bidi w:val="0"/>
              <w:spacing w:before="0" w:after="283"/>
              <w:jc w:val="both"/>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SCIENCE ARTIST HOLDING LIMITED</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85"/>
        <w:gridCol w:w="1445"/>
        <w:gridCol w:w="75"/>
      </w:tblGrid>
      <w:tr>
        <w:trPr/>
        <w:tc>
          <w:tcPr>
            <w:tcW w:w="785" w:type="dxa"/>
            <w:tcBorders/>
            <w:vAlign w:val="center"/>
          </w:tcPr>
          <w:p>
            <w:pPr>
              <w:pStyle w:val="TableContents"/>
              <w:bidi w:val="0"/>
              <w:spacing w:before="0" w:after="283"/>
              <w:jc w:val="both"/>
              <w:rPr/>
            </w:pPr>
            <w:r>
              <w:rPr/>
              <w:t xml:space="preserve">By: </w:t>
            </w:r>
          </w:p>
        </w:tc>
        <w:tc>
          <w:tcPr>
            <w:tcW w:w="1445" w:type="dxa"/>
            <w:tcBorders>
              <w:bottom w:val="single" w:sz="12" w:space="0" w:color="000000"/>
            </w:tcBorders>
            <w:tcMar>
              <w:bottom w:w="28" w:type="dxa"/>
            </w:tcMar>
            <w:vAlign w:val="center"/>
          </w:tcPr>
          <w:p>
            <w:pPr>
              <w:pStyle w:val="TableContents"/>
              <w:bidi w:val="0"/>
              <w:spacing w:before="0" w:after="283"/>
              <w:jc w:val="both"/>
              <w:rPr/>
            </w:pPr>
            <w:r>
              <w:rPr/>
              <w:t>/s/ Zhang Peng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pPr>
            <w:r>
              <w:rPr/>
              <w:t xml:space="preserve">Name:  </w:t>
            </w:r>
          </w:p>
        </w:tc>
        <w:tc>
          <w:tcPr>
            <w:tcW w:w="1445" w:type="dxa"/>
            <w:tcBorders/>
            <w:vAlign w:val="center"/>
          </w:tcPr>
          <w:p>
            <w:pPr>
              <w:pStyle w:val="TableContents"/>
              <w:bidi w:val="0"/>
              <w:spacing w:before="0" w:after="283"/>
              <w:jc w:val="both"/>
              <w:rPr/>
            </w:pPr>
            <w:r>
              <w:rPr/>
              <w:t>Zhang Peng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pPr>
            <w:r>
              <w:rPr/>
              <w:t xml:space="preserve">Title: </w:t>
            </w:r>
          </w:p>
        </w:tc>
        <w:tc>
          <w:tcPr>
            <w:tcW w:w="1445" w:type="dxa"/>
            <w:tcBorders/>
            <w:vAlign w:val="center"/>
          </w:tcPr>
          <w:p>
            <w:pPr>
              <w:pStyle w:val="TableContents"/>
              <w:bidi w:val="0"/>
              <w:spacing w:before="0" w:after="283"/>
              <w:jc w:val="both"/>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660" w:type="dxa"/>
        <w:jc w:val="left"/>
        <w:tblInd w:w="0" w:type="dxa"/>
        <w:tblLayout w:type="fixed"/>
        <w:tblCellMar>
          <w:top w:w="0" w:type="dxa"/>
          <w:left w:w="0" w:type="dxa"/>
          <w:bottom w:w="0" w:type="dxa"/>
          <w:right w:w="0" w:type="dxa"/>
        </w:tblCellMar>
      </w:tblPr>
      <w:tblGrid>
        <w:gridCol w:w="935"/>
        <w:gridCol w:w="650"/>
        <w:gridCol w:w="75"/>
      </w:tblGrid>
      <w:tr>
        <w:trPr/>
        <w:tc>
          <w:tcPr>
            <w:tcW w:w="935" w:type="dxa"/>
            <w:tcBorders/>
            <w:vAlign w:val="center"/>
          </w:tcPr>
          <w:p>
            <w:pPr>
              <w:pStyle w:val="TableContents"/>
              <w:bidi w:val="0"/>
              <w:spacing w:before="0" w:after="283"/>
              <w:jc w:val="both"/>
              <w:rPr/>
            </w:pPr>
            <w:r>
              <w:rPr/>
              <w:t xml:space="preserve">Address: </w:t>
            </w:r>
          </w:p>
        </w:tc>
        <w:tc>
          <w:tcPr>
            <w:tcW w:w="650" w:type="dxa"/>
            <w:tcBorders/>
            <w:vAlign w:val="center"/>
          </w:tcPr>
          <w:p>
            <w:pPr>
              <w:pStyle w:val="TableContents"/>
              <w:bidi w:val="0"/>
              <w:spacing w:before="0" w:after="283"/>
              <w:jc w:val="both"/>
              <w:rPr/>
            </w:pPr>
            <w:r>
              <w:rPr/>
              <w:t>[****]</w:t>
            </w:r>
          </w:p>
        </w:tc>
        <w:tc>
          <w:tcPr>
            <w:tcW w:w="7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both"/>
              <w:rPr/>
            </w:pPr>
            <w:r>
              <w:rPr/>
              <w:t>Email:</w:t>
            </w:r>
          </w:p>
        </w:tc>
        <w:tc>
          <w:tcPr>
            <w:tcW w:w="650" w:type="dxa"/>
            <w:tcBorders/>
            <w:vAlign w:val="center"/>
          </w:tcPr>
          <w:p>
            <w:pPr>
              <w:pStyle w:val="TableContents"/>
              <w:bidi w:val="0"/>
              <w:spacing w:before="0" w:after="283"/>
              <w:jc w:val="both"/>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 w:name="ea030130601ex99-1.htm"/>
      <w:bookmarkStart w:id="13" w:name="ksea030130601ex991"/>
      <w:bookmarkEnd w:id="12"/>
      <w:bookmarkEnd w:id="1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Enters into Definitive Merger Agreement with Canopy Wave to Build a Global AI Inference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combined company will be renamed Canopy Wave Holdings Inc. and expected to trade on Nasdaq under the new ticker symbol “CWAV” — transaction repositions the Company around AI inference infrastructure for open-weight large language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and SANTA CLARA, Calif., August 10, 2026 / PRNewswire / -- SAIHEAT Limited (“SAIHEAT” or the “Company”) (Nasdaq: SAIH) today announced that it has entered into a definitive merger agreement, dated August 10, 2026 (the “Merger Agreement”), with Canopy Wave, Inc. (“Canopy Wave”), a Santa Clara, California-based AI inference and GPU cloud platform company. Upon the closing of the transaction, Canopy Wave will become a wholly-owned subsidiary of the Company. The combined company will be renamed “Canopy Wave Holdings Inc.” and is expected to trade on the Nasdaq Stock Market (“Nasdaq”) under the new ticker symbol “CWAV,” subject to required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intended to reposition the Company around AI inference, the delivery of AI model outputs, or “tokens,” at production scale, while retaining SAIHEAT’s existing data center infrastructure business. The Company’s management believes AI inference represents a growing share of AI infrastructure spending, as enterprise adoption shifts investment from one-time model training toward ongoing inference workloads.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Rationale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SAIHEAT’s combination with Canopy Wave creates a U.S.-based global AI inference platform that combines modular data center infrastructure with Canopy Wave’s inference platform.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 pivot into AI inference infrastructure.</w:t>
            </w:r>
            <w:r>
              <w:rPr/>
              <w:t xml:space="preserve"> The combined company intends to provide inference services for open-weight large language models to enterprise and developer customers worldwide. Open-weight models have closed the capability gap with proprietary frontier models. The demand for cost-efficient, secure inference of these open models is expanding across AI coding, agent, and enterprise AI workloads.</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 full-stack inference platform.</w:t>
            </w:r>
            <w:r>
              <w:rPr/>
              <w:t xml:space="preserve"> Canopy Wave provides a full-stack inference platform combining GPU cloud infrastructure, orchestration software, API endpoints, and security features that include SOC 2 Type II certification and a zero-data-retention policy.</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Complementary infrastructure capabilities.</w:t>
            </w:r>
            <w:r>
              <w:rPr/>
              <w:t xml:space="preserve"> SAIHEAT’s existing capabilities in modular data center infrastructure and energy-efficient computing are expected to complement Canopy Wave’s GPU cloud operations, which Canopy Wave conducts utilizing its access to third-party infrastructure through leasing arrangements.</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An experienced, U.S.-based local leadership team.</w:t>
            </w:r>
            <w:r>
              <w:rPr/>
              <w:t xml:space="preserve"> Following the closing, the combined company will be headquartered in Santa Clara, California and led by Canopy Wave’s founding team, including Chief Executive Officer (CEO) Tao Zhang and Chief Technology Officer (CTO) James Liao. Tao Zhang and James Liao are expected to collectively hold a majority of the combined company’s economic interests and voting power following the closing. The Company expects to transition from a foreign private issuer to domestic-issuer reporting requirements beginning as of the next fiscal year, as required by such rules.</w:t>
            </w:r>
          </w:p>
        </w:tc>
      </w:tr>
    </w:tbl>
    <w:p>
      <w:pPr>
        <w:pStyle w:val="TextBody"/>
        <w:bidi w:val="0"/>
        <w:spacing w:before="0" w:after="0"/>
        <w:ind w:left="431" w:right="0" w:hanging="259"/>
        <w:jc w:val="both"/>
        <w:rPr>
          <w:caps w:val="false"/>
          <w:smallCaps w:val="false"/>
        </w:rPr>
      </w:pPr>
      <w:r>
        <w:rPr>
          <w:caps w:val="false"/>
          <w:smallCaps w:val="false"/>
        </w:rPr>
        <w:t> </w:t>
      </w:r>
    </w:p>
    <w:p>
      <w:pPr>
        <w:pStyle w:val="TextBody"/>
        <w:bidi w:val="0"/>
        <w:spacing w:before="240" w:after="120"/>
        <w:ind w:left="431" w:right="0" w:hanging="259"/>
        <w:jc w:val="left"/>
        <w:rPr>
          <w:bdr w:val="single" w:sz="12" w:space="1" w:color="000000"/>
        </w:rPr>
      </w:pPr>
      <w:r>
        <w:rPr>
          <w:bdr w:val="single" w:sz="12" w:space="1" w:color="000000"/>
        </w:rPr>
        <w:t> </w:t>
      </w:r>
    </w:p>
    <w:p>
      <w:pPr>
        <w:pStyle w:val="TextBody"/>
        <w:bidi w:val="0"/>
        <w:spacing w:before="120" w:after="240"/>
        <w:jc w:val="left"/>
        <w:rPr/>
      </w:pPr>
      <w:r>
        <w:rPr/>
        <w:t> </w:t>
      </w:r>
    </w:p>
    <w:p>
      <w:pPr>
        <w:pStyle w:val="TextBody"/>
        <w:bidi w:val="0"/>
        <w:spacing w:before="0" w:after="0"/>
        <w:ind w:left="431" w:right="0" w:hanging="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the merger will be effected through the issuance of new SAIHEAT Class A and Class B ordinary shares to Canopy Wave’s shareholders, based on a pre-money equity valuation of Canopy Wave of US$60,000,000 and a pre-money equity valuation of SAIHEAT of US$40,000,000, which amounts represent the result of arm’s length negotiation between the parties and are not intended to be, and should not be relied upon as, an appraisal, valuation opinion, or indication of market value. Based on such valuations, transaction will result in former Canopy Wave stockholders owning approximately 54.19% of the combined company’s economic interests and approximately 78.44% of the combined company’s voting power, taking into account a concurrent private placement planned by the Company of Class A Ordinary Shares for aggregate proceeds of approximately US$4.5 million (representing a purchase price of US$18.15 per share). The transactions have been unanimously approved by the boards of directors of both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expect the transactions to close by the end of 2026. However, the closing of the transaction is subject to customary conditions, including approval by SAIHEAT’s shareholders, Nasdaq’s approval of the combined company’s initial listing application, and satisfaction of conditions to consummation of the concurrent private placement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combination will position the company where the AI market is going: inference at scale,” said Jianwei Li, Chief Executive Officer of SAIHEAT. “Canopy Wave brings an inference platform and an exceptional engineering team. Combined with our infrastructure capabilities, we believe we can build a competitive inference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enterprises are increasingly evaluating open weight models for performance, control, and cost efficiency,” said Tao Zhang, Chief Executive Officer of Canopy Wave. “Joining forces with SAIHEAT will give us the public-company platform and the infrastructure depth to scale much faster. Our mission is to make serving these models simple, secure, and economical. This transaction accelerates that mission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Canopy Wave,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Canopy Wave is a Santa Clara, California-based AI inference and GPU cloud platform company. Its full-stack platform is engineered for open-weight generative AI models, featuring OpenAI-compatible API interfaces, intelligent GPU resource scheduling, and enterprise-grade security protocols, including data isolation and zero-data-retention policies. The platform supports a broad catalog of leading open-weight models and serves developers and enterprises across AI coding, AI agent, and other production workloads. For more information, please visit https://www.canopywave.com.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SAIHEAT Limited (Nasdaq: SAIH)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is a global distributed computing power operator. By leveraging a modular computing power system, the Company helps energy owners address the issues of local energy consumption and efficient resource utilization. For more information, please visit https://www.saiheat.com.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120" w:after="24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U.S.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SAIHEAT intends to file relevant materials with the U.S. Securities and Exchange Commission (the “SEC”), including a Report of Foreign Private Issuer on Form 6-K furnishing the Merger Agreement. Shareholders and investors are urged to read these materials, and any other relevant documents filed or furnished with the SEC, when they become available, because they will contain important information about the proposed transaction. Shareholders and investors may obtain a free copy of these materials, and other documents filed by SAIHEAT with the SEC, at the SEC’s website at www.sec.gov, or from SAIHEAT at the contact information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“believe,” “expect,” “estimate,” “anticipate,” “target,” “continue,” “predict,” “intend,” “plan,” “aim,” “may,” “will,” “would,” and similar expressions identify forward-looking statements. Examples include, among others, statements regarding the expected benefits of the proposed transaction, the anticipated timing of the closing, the satisfaction of the closing conditions (including approval by SAIHEAT’s shareholders, Nasdaq’s approval of the combined company’s initial listing application, satisfaction of conditions to the consummation of the concurrent private placement financing, and any applicable regulatory clearances), and the combined company’s strategy, market opportunity, and future performance. These statements reflect management’s current expectations and are subject to risks and uncertainties. Actual results may differ materially due to factors including, among others: the risk that the proposed transaction may not be completed in a timely manner or at all; the failure to satisfy closing conditions or obtain required approvals; risks associated with the possible failure to realize, or that it may take longer to realize than expected, certain anticipated benefits of the proposed transaction, including with respect to future financial and operating results,; the effect of the announcement or pendency of the transaction on business relationships and operating results; the risk that the proposed concurrent financing is not completed in a timely manner, if at all; risks related to SAIHEAT’s continued listing on Nasdaq until closing of the proposed transactions and the combined company’s ability to remain listed following the closing of the proposed transactions; the occurrence of any event, change or other circumstance or condition that could give rise to the termination of the merger agreement; the combined company’s dependence on third-party open-weight AI models, including models developed outside the United States, and related exposure to export controls, trade restrictions, and customer procurement policies; the combined company’s reliance on third-party computing infrastructure that it does not own and that is subject to termination; declines in per-token pricing or GPU rental rates; Canopy Wave’s limited operating history since its formation in 2024; customer concentration; capital requirements and potential shareholder dilution; concentration of voting power; costs of the proposed transactions and of transitioning from a foreign private issuer to a domestic issuer; competition from substantially larger providers; the risk of involvement in litigation, including securities class action litigation; regulatory changes; macroeconomic conditions; and the other risks and uncertainties described in SAIHEAT’s filings with the U.S. Securities and Exchange Commission, including its annual report on Form 20-F. All forward-looking statements speak only as of the date hereof, and SAIHEAT undertakes no obligation to update them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ir@saiheat.com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pr@saiheat.com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95914</Words>
  <Characters>512149</Characters>
  <CharactersWithSpaces>608235</CharactersWithSpaces>
  <Paragraphs>4217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