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ea0304802-s8_saiheat.htm"/>
      <w:bookmarkStart w:id="1" w:name="ksea0304802s8_saiheat"/>
      <w:bookmarkEnd w:id="0"/>
      <w:bookmarkEnd w:id="1"/>
      <w:r>
        <w:rPr>
          <w:rFonts w:ascii="Times New Roman;Times;Serif" w:hAnsi="Times New Roman;Times;Serif"/>
          <w:b/>
          <w:i w:val="false"/>
          <w:caps w:val="false"/>
          <w:smallCaps w:val="false"/>
          <w:sz w:val="20"/>
        </w:rPr>
        <w:t>As filed with the Securities and Exchange Commission on September 8,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 #02-01 Singapore (058815)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SAI.TECH Global Corporation 2021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SAI.TECH Global Corporation 2023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Jianwei Li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 MADISON AVENUE, 27TH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(732) 910-9692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Sally Yin,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(929) 226-4130</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 (the “Registrant”) is filing this Registration Statement on Form S-8 (this “Registration Statement”) for the purpose of registering an additional 150,961 Class A ordinary shares, par value US$0.0015 per share of the Registrant (the “Class A Ordinary Shares”), and 216,658 Class A Ordinary Shares, for issuance pursuant to the Registrant’s SAI.TECH Global Corporation 2021 Equity Incentive Plan (the “2021 Plan”) and SAI.TECH Global Corporation 2023 Equity Incentive Plan (the “2023 Plan”), respectively. Except as noted, the additional shares are being registered because of the operation of the automatic annual increase provision contained in the 2021 Plan and the 2023 Plan, pursuant to which the number of shares available for issuance under the 2021 Plan increases annually on January 1 of each year from 2023 to 2032; the number of shares available for issuance under the 2023 Plan increases annually on January 1 of each year from 2024 to 2033.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20"/>
        <w:gridCol w:w="165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6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Plan Information.*</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20"/>
        <w:gridCol w:w="55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5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Registrant Information and Employee Plan Annual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this Part I of Form S-8 (Plan Information and Registration Information and Employee Plan Annual Information) will be sent or given to recipients of the grants under the 2021 Plan and the 2023 Plan as specified by the U.S. Securities and Exchange Commission (the “Commission”) pursuant to Rule 428(b)(1) of the Securities Act. Such documents are not required to be and are not filed with the Commission either as part of this Registration Statement or as prospectuses or prospectus supplements pursuant to Rule 424 of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of the Securities Act, and will include the address and telephone number to which the request is to be directed.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575"/>
        <w:gridCol w:w="3620"/>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20" w:type="dxa"/>
            <w:tcBorders/>
            <w:vAlign w:val="center"/>
          </w:tcPr>
          <w:p>
            <w:pPr>
              <w:pStyle w:val="TableContents"/>
              <w:bidi w:val="0"/>
              <w:spacing w:before="0" w:after="283"/>
              <w:jc w:val="both"/>
              <w:rPr>
                <w:b/>
              </w:rPr>
            </w:pPr>
            <w:r>
              <w:rPr>
                <w:b/>
              </w:rPr>
              <w:t>I</w:t>
            </w:r>
            <w:r>
              <w:rPr>
                <w:rFonts w:ascii="Times New Roman;Times;Serif" w:hAnsi="Times New Roman;Times;Serif"/>
                <w:b/>
                <w:sz w:val="20"/>
              </w:rPr>
              <w:t>ncorporation of Documents by Reference.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 (the “Registrant”) hereby incorporates by reference into this Registration Statement on Form S-8 (this “Registration Statement”) the following documents previously filed with the U.S. Securities and Exchange Commission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pPr>
            <w:r>
              <w:rPr>
                <w:rFonts w:ascii="Times New Roman;Times;Serif" w:hAnsi="Times New Roman;Times;Serif"/>
                <w:sz w:val="20"/>
              </w:rPr>
              <w:t xml:space="preserve">The Registrant’s annual report on </w:t>
            </w:r>
            <w:hyperlink r:id="rId2">
              <w:r>
                <w:rPr>
                  <w:rStyle w:val="InternetLink"/>
                  <w:rFonts w:ascii="Times New Roman;Times;Serif" w:hAnsi="Times New Roman;Times;Serif"/>
                  <w:sz w:val="20"/>
                </w:rPr>
                <w:t>Form 20-F</w:t>
              </w:r>
            </w:hyperlink>
            <w:r>
              <w:rPr>
                <w:rFonts w:ascii="Times New Roman;Times;Serif" w:hAnsi="Times New Roman;Times;Serif"/>
                <w:sz w:val="20"/>
              </w:rPr>
              <w:t xml:space="preserve"> filed with the Commission on April 30, 2026, which contains the Registrant’s audited financial statements for the latest fiscal year for which such statements have been filed;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Registrant’s Reports on Form 6-K filed on (except for the portions of such reports deemed to be furnished and not filed) </w:t>
            </w:r>
            <w:hyperlink r:id="rId3">
              <w:r>
                <w:rPr>
                  <w:rStyle w:val="InternetLink"/>
                  <w:rFonts w:ascii="Times New Roman;Times;Serif" w:hAnsi="Times New Roman;Times;Serif"/>
                  <w:sz w:val="20"/>
                </w:rPr>
                <w:t>June 5, 2026</w:t>
              </w:r>
            </w:hyperlink>
            <w:r>
              <w:rPr>
                <w:rFonts w:ascii="Times New Roman;Times;Serif" w:hAnsi="Times New Roman;Times;Serif"/>
                <w:sz w:val="20"/>
              </w:rPr>
              <w:t xml:space="preserve">, </w:t>
            </w:r>
            <w:hyperlink r:id="rId4">
              <w:r>
                <w:rPr>
                  <w:rStyle w:val="InternetLink"/>
                  <w:rFonts w:ascii="Times New Roman;Times;Serif" w:hAnsi="Times New Roman;Times;Serif"/>
                  <w:sz w:val="20"/>
                </w:rPr>
                <w:t>August 10, 2026</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August 13,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August 26,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pPr>
            <w:r>
              <w:rPr>
                <w:rFonts w:ascii="Times New Roman;Times;Serif" w:hAnsi="Times New Roman;Times;Serif"/>
                <w:sz w:val="20"/>
              </w:rPr>
              <w:t xml:space="preserve">The description of the Registrant’s Class A Ordinary Shares, registered under Section 12 of the Securities Exchange Act of 1934, as amended (the “Exchange Act”) (filed as </w:t>
            </w:r>
            <w:hyperlink r:id="rId7">
              <w:r>
                <w:rPr>
                  <w:rStyle w:val="InternetLink"/>
                  <w:rFonts w:ascii="Times New Roman;Times;Serif" w:hAnsi="Times New Roman;Times;Serif"/>
                  <w:sz w:val="20"/>
                </w:rPr>
                <w:t>Exhibit 2.2</w:t>
              </w:r>
            </w:hyperlink>
            <w:r>
              <w:rPr>
                <w:rFonts w:ascii="Times New Roman;Times;Serif" w:hAnsi="Times New Roman;Times;Serif"/>
                <w:sz w:val="20"/>
              </w:rPr>
              <w:t xml:space="preserve"> to the Registrant’s Annual Report on Form 20-F, filed with the Commission on April 19, 2023), and as may be amended by any subsequent amendment or any report filed for the purpose of updating such description.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and 15(d) of the Exchange Act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a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575"/>
        <w:gridCol w:w="2135"/>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Securities.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575"/>
        <w:gridCol w:w="3440"/>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Interests of Named Experts and Counsel.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575"/>
        <w:gridCol w:w="3605"/>
      </w:tblGrid>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3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Indemnification of Directors and Officers.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Registrant’s fifth amended and restated memorandum and articles of association adopted by special resolution dated April 24, 2026 provides that every director and officer (which for the avoidance of doubt, shall not include auditors of the Registrant), together with every former director and former officer (each an “Indemnified Person”) shall be indemnified out of the assets of the Registrant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Registrant for any loss or damage incurred by the Registrant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unless or until a court of competent jurisdiction shall have made a finding to that effect. The Registrant intends to purchase a policy of directors’ and officers’ liability insurance that insures our officers and directors against the costs of defense, settlement or payment of a judgment in some circumstances and insures us against our obligations to indemnify our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575"/>
        <w:gridCol w:w="3380"/>
      </w:tblGrid>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3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Exemption from Registration Claimed.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575"/>
        <w:gridCol w:w="830"/>
      </w:tblGrid>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8">
              <w:r>
                <w:rPr>
                  <w:rStyle w:val="InternetLink"/>
                </w:rPr>
                <w:t>Fifth Amended and Restated Memorandum and Articles of Association of the Company currently in effect (incorporated herein by reference to Exhibit 3.2 to Form 6-K as filed with the Securities and Exchange Commission on April 28, 2026)</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480201ex5-1.htm">
              <w:r>
                <w:rPr>
                  <w:rStyle w:val="InternetLink"/>
                </w:rPr>
                <w:t>Opinion of Harney Westwood &amp; Riegels as to the legality of the securities being registered.</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480201ex5-1.htm">
              <w:r>
                <w:rPr>
                  <w:rStyle w:val="InternetLink"/>
                </w:rPr>
                <w:t>Consent of Harney Westwood &amp; Riegels (contained in Exhibit 5.1).</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23.2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480201ex23-2.htm">
              <w:r>
                <w:rPr>
                  <w:rStyle w:val="InternetLink"/>
                </w:rPr>
                <w:t>Consent of Audit Alliance LLP.</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23.3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480201ex23-3.htm">
              <w:r>
                <w:rPr>
                  <w:rStyle w:val="InternetLink"/>
                </w:rPr>
                <w:t>Consent of Assentsure PAC.</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24.1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a_001">
              <w:r>
                <w:rPr>
                  <w:rStyle w:val="InternetLink"/>
                </w:rPr>
                <w:t>Powers of Attorney (included on the signature page of this Registration Statement).</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"https://www.sec.gov/Archives/edgar/data/1847075/000121390022015675/ff42022a6_tradeupglobal.htm" \l "T703"</w:instrText>
            </w:r>
            <w:r>
              <w:rPr>
                <w:rStyle w:val="InternetLink"/>
              </w:rPr>
              <w:fldChar w:fldCharType="separate"/>
            </w:r>
            <w:r>
              <w:rPr>
                <w:rStyle w:val="InternetLink"/>
              </w:rPr>
              <w:t>SAI.TECH Global Corporation 2021 Equity Incentive Plan (incorporated herein by reference to Exhibit 10.9 to Form F-4/A (File No. 333-260418) as filed with the Securities and Exchange Commission on March 29, 2022)</w:t>
            </w:r>
            <w:r>
              <w:rPr>
                <w:rStyle w:val="InternetLink"/>
              </w:rPr>
              <w:fldChar w:fldCharType="end"/>
            </w:r>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r:id="rId9">
              <w:r>
                <w:rPr>
                  <w:rStyle w:val="InternetLink"/>
                </w:rPr>
                <w:t>SAI.TECH Global Corporation 2023 Equity Incentive Plan (incorporated herein by reference to Exhibit 10.1 to Form 6-K (File No. 001-40368) as filed with the Securities and Exchange Commission on September 14, 2023)</w:t>
              </w:r>
            </w:hyperlink>
          </w:p>
        </w:tc>
      </w:tr>
      <w:tr>
        <w:trPr/>
        <w:tc>
          <w:tcPr>
            <w:tcW w:w="8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both"/>
              <w:rPr/>
            </w:pPr>
            <w:r>
              <w:rPr/>
              <w:t>107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480201ex-fee.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575"/>
        <w:gridCol w:w="1265"/>
      </w:tblGrid>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Undertakings. </w:t>
            </w:r>
          </w:p>
        </w:tc>
      </w:tr>
    </w:tbl>
    <w:p>
      <w:pPr>
        <w:pStyle w:val="TextBody"/>
        <w:bidi w:val="0"/>
        <w:spacing w:before="0" w:after="0"/>
        <w:ind w:left="0" w:right="0" w:hanging="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3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20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 in the effective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(17 CFR 249.220f)”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indemnity provisions summarized in Item 6,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Singapore, on September 8, 2026.</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335"/>
        <w:gridCol w:w="1925"/>
        <w:gridCol w:w="75"/>
      </w:tblGrid>
      <w:tr>
        <w:trPr/>
        <w:tc>
          <w:tcPr>
            <w:tcW w:w="22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SAIHEAT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Jianwei Li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JIANWEI LI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Jianwei Li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attorney-in-fact and agent, and full power and authority to do and perform each and every act and thing requisite and necessary to be done, as fully for all intents and purposes as he or she might or could do in person, hereby ratifying and confirming all that said attorney-in-fact and agent, or his or her substitute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28" w:type="dxa"/>
          <w:right w:w="0" w:type="dxa"/>
        </w:tblCellMar>
      </w:tblPr>
      <w:tblGrid>
        <w:gridCol w:w="7520"/>
        <w:gridCol w:w="60"/>
        <w:gridCol w:w="1550"/>
      </w:tblGrid>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Jianwei Li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Jianwei Li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Chief Executive Officer, Acting Chief Financial Officer and Chairman of the Board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 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Hao 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 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Lulu Zhou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Lulu Zhou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Junfei Ren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Junfei Ren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Tianshi Yang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Tianshi Yang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2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3" w:name="ea030480201ex5-1.htm"/>
      <w:bookmarkStart w:id="4" w:name="ksea030480201ex51"/>
      <w:bookmarkEnd w:id="3"/>
      <w:bookmarkEnd w:id="4"/>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910"/>
        <w:gridCol w:w="2375"/>
      </w:tblGrid>
      <w:tr>
        <w:trPr/>
        <w:tc>
          <w:tcPr>
            <w:tcW w:w="2910" w:type="dxa"/>
            <w:tcBorders/>
            <w:vAlign w:val="center"/>
          </w:tcPr>
          <w:p>
            <w:pPr>
              <w:pStyle w:val="TableContents"/>
              <w:bidi w:val="0"/>
              <w:spacing w:before="0" w:after="283"/>
              <w:jc w:val="both"/>
              <w:rPr/>
            </w:pPr>
            <w:r>
              <w:rPr/>
              <w:drawing>
                <wp:inline distT="0" distB="0" distL="0" distR="0">
                  <wp:extent cx="18002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800225" cy="523875"/>
                          </a:xfrm>
                          <a:prstGeom prst="rect">
                            <a:avLst/>
                          </a:prstGeom>
                        </pic:spPr>
                      </pic:pic>
                    </a:graphicData>
                  </a:graphic>
                </wp:inline>
              </w:drawing>
            </w:r>
            <w:r>
              <w:rPr/>
              <w:t> </w:t>
            </w:r>
          </w:p>
        </w:tc>
        <w:tc>
          <w:tcPr>
            <w:tcW w:w="23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Alexandra House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Chater Road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5806 7800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+852 5806 7810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 Governors Square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Lime Tree Bay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30746, Seven Mile Beach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KY1-1203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SAIHEAT Limited (the </w:t>
      </w:r>
      <w:r>
        <w:rPr>
          <w:rFonts w:ascii="Times New Roman;Times;Serif" w:hAnsi="Times New Roman;Times;Serif"/>
          <w:b/>
          <w:i/>
          <w:caps w:val="false"/>
          <w:smallCaps w:val="false"/>
          <w:sz w:val="20"/>
        </w:rPr>
        <w:t>Company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lawyers qualified to practise in the Cayman Islands and have acted as Cayman Islands legal advisers to the Company in connection with the Company’s registration statement on Form S-8, including all amendments or supplements thereto, to be filed on or around the date of this opinion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relating to the registration of 150,961 class A ordinary shares of a par value of US$0.0015 each of the Company (the </w:t>
      </w:r>
      <w:r>
        <w:rPr>
          <w:rFonts w:ascii="Times New Roman;Times;Serif" w:hAnsi="Times New Roman;Times;Serif"/>
          <w:b/>
          <w:i/>
          <w:caps w:val="false"/>
          <w:smallCaps w:val="false"/>
          <w:sz w:val="20"/>
        </w:rPr>
        <w:t>Class A Ordinary Shares</w:t>
      </w:r>
      <w:r>
        <w:rPr>
          <w:rFonts w:ascii="Times New Roman;Times;Serif" w:hAnsi="Times New Roman;Times;Serif"/>
          <w:b w:val="false"/>
          <w:i w:val="false"/>
          <w:caps w:val="false"/>
          <w:smallCaps w:val="false"/>
          <w:sz w:val="20"/>
        </w:rPr>
        <w:t xml:space="preserve">), and 216,658 Class A Ordinary Shares, for issuance pursuant to the 2021 Plan and the 2023 Plan (each as defined in Schedule 1), respectively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and 23.1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Documents (as defined in Schedule 1) which we regard as necessary in order to issue this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independently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val="false"/>
              </w:rPr>
            </w:pPr>
            <w:r>
              <w:rPr>
                <w:b w:val="false"/>
              </w:rPr>
              <w:t>1</w:t>
            </w:r>
          </w:p>
        </w:tc>
        <w:tc>
          <w:tcPr>
            <w:tcW w:w="10028" w:type="dxa"/>
            <w:tcBorders/>
            <w:vAlign w:val="center"/>
          </w:tcPr>
          <w:p>
            <w:pPr>
              <w:pStyle w:val="TableContents"/>
              <w:bidi w:val="0"/>
              <w:spacing w:before="0" w:after="283"/>
              <w:jc w:val="both"/>
              <w:rPr/>
            </w:pPr>
            <w:r>
              <w:rPr/>
              <w:t xml:space="preserve">Existence and Good Standing. </w:t>
            </w:r>
            <w:r>
              <w:rPr>
                <w:b w:val="false"/>
              </w:rPr>
              <w:t>The Company is a company duly incorporated with limited liability, and is validly existing and in good standing under the laws of the Cayman Islands. The Company is a separate legal entity and is subject to suit in its own name.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2"/>
        <w:gridCol w:w="60"/>
        <w:gridCol w:w="2823"/>
      </w:tblGrid>
      <w:tr>
        <w:trPr/>
        <w:tc>
          <w:tcPr>
            <w:tcW w:w="73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The British Virgin Islands is Harneys Hong Kong office’s main jurisdiction of practice.</w:t>
            </w:r>
          </w:p>
          <w:p>
            <w:pPr>
              <w:pStyle w:val="TableContents"/>
              <w:bidi w:val="0"/>
              <w:spacing w:before="0" w:after="0"/>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Jersey legal services are provided through a referral arrangement with Harneys (Jersey) which is an independently owned and controlled Jersey law firm.</w:t>
            </w:r>
          </w:p>
          <w:p>
            <w:pPr>
              <w:pStyle w:val="TableContents"/>
              <w:bidi w:val="0"/>
              <w:spacing w:before="0" w:after="0"/>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Resident Partners: M Chu | Y Fan | SG Gray | IC Groark | SO Karolczuk | PM Kay | MW Kwok</w:t>
            </w:r>
          </w:p>
          <w:p>
            <w:pPr>
              <w:pStyle w:val="TableContents"/>
              <w:bidi w:val="0"/>
              <w:spacing w:before="0" w:after="0"/>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WPT Lee | IN Mann | BP McCosker | R Ng | PJ Sephton</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2823"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Anguilla | Bermuda | British Virgin Islands</w:t>
            </w:r>
          </w:p>
          <w:p>
            <w:pPr>
              <w:pStyle w:val="TableContents"/>
              <w:bidi w:val="0"/>
              <w:spacing w:before="0" w:after="0"/>
              <w:ind w:left="0" w:right="0" w:hanging="0"/>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Cayman Islands | Cyprus | Dubai | Hong Kong | Jersey</w:t>
            </w:r>
          </w:p>
          <w:p>
            <w:pPr>
              <w:pStyle w:val="TableContents"/>
              <w:bidi w:val="0"/>
              <w:spacing w:before="0" w:after="0"/>
              <w:ind w:left="0" w:right="0" w:hanging="0"/>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London | Luxembourg | Shanghai | Singapore</w:t>
            </w:r>
          </w:p>
          <w:p>
            <w:pPr>
              <w:pStyle w:val="TableContents"/>
              <w:bidi w:val="0"/>
              <w:spacing w:before="0" w:after="0"/>
              <w:ind w:left="0" w:right="0" w:hanging="0"/>
              <w:jc w:val="righ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harneys.com</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val="false"/>
              </w:rPr>
            </w:pPr>
            <w:r>
              <w:rPr>
                <w:b w:val="false"/>
              </w:rPr>
              <w:t>2</w:t>
            </w:r>
          </w:p>
        </w:tc>
        <w:tc>
          <w:tcPr>
            <w:tcW w:w="10028" w:type="dxa"/>
            <w:tcBorders/>
            <w:vAlign w:val="center"/>
          </w:tcPr>
          <w:p>
            <w:pPr>
              <w:pStyle w:val="TableContents"/>
              <w:bidi w:val="0"/>
              <w:spacing w:before="0" w:after="283"/>
              <w:jc w:val="both"/>
              <w:rPr/>
            </w:pPr>
            <w:r>
              <w:rPr/>
              <w:t xml:space="preserve">Valid Issuance of Shares. </w:t>
            </w:r>
            <w:r>
              <w:rPr>
                <w:b w:val="false"/>
              </w:rPr>
              <w:t xml:space="preserve">The Shares, when authorised to be issued, sold and paid for in the manner described in the 2021 Plan and the 2023 Plan, and in accordance with the Resolutions (as defined in Schedule 1) and, when allotted, issued and fully paid for in accordance with the 2021 Plan, the 2023 Plan, and the Registration Statement, and when the names of the shareholders are entered in the register of members of the Company, will be validly issued, fully paid and non-assessable.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above opinion, we hereby consent to the filing of this opinion as an exhibit to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r>
      <w:tr>
        <w:trPr/>
        <w:tc>
          <w:tcPr>
            <w:tcW w:w="3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xml:space="preserve">/s/ </w:t>
            </w:r>
            <w:r>
              <w:rPr>
                <w:b w:val="false"/>
                <w:i w:val="false"/>
                <w:caps w:val="false"/>
                <w:smallCaps w:val="false"/>
              </w:rPr>
              <w:t>Harney Westwood &amp; Riegels</w:t>
            </w:r>
          </w:p>
        </w:tc>
      </w:tr>
      <w:tr>
        <w:trPr/>
        <w:tc>
          <w:tcPr>
            <w:tcW w:w="3110" w:type="dxa"/>
            <w:tcBorders/>
            <w:vAlign w:val="center"/>
          </w:tcPr>
          <w:p>
            <w:pPr>
              <w:pStyle w:val="TableContents"/>
              <w:bidi w:val="0"/>
              <w:spacing w:before="0" w:after="283"/>
              <w:jc w:val="both"/>
              <w:rPr>
                <w:b/>
                <w:sz w:val="20"/>
              </w:rPr>
            </w:pPr>
            <w:r>
              <w:rPr>
                <w:b/>
                <w:sz w:val="20"/>
              </w:rPr>
              <w:t>Harney Westwood &amp; Riegels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Documents and Records Examined</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81"/>
        <w:gridCol w:w="9976"/>
      </w:tblGrid>
      <w:tr>
        <w:trPr/>
        <w:tc>
          <w:tcPr>
            <w:tcW w:w="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283"/>
              <w:jc w:val="both"/>
              <w:rPr/>
            </w:pPr>
            <w:r>
              <w:rPr/>
              <w:t>A copy of the certificate of incorporation of the Company dated 26 January 2021;</w:t>
            </w:r>
          </w:p>
        </w:tc>
      </w:tr>
    </w:tbl>
    <w:p>
      <w:pPr>
        <w:pStyle w:val="TextBody"/>
        <w:bidi w:val="0"/>
        <w:spacing w:before="0" w:after="0"/>
        <w:ind w:left="709" w:right="0" w:hanging="709"/>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4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9365" w:type="dxa"/>
            <w:tcBorders/>
            <w:vAlign w:val="center"/>
          </w:tcPr>
          <w:p>
            <w:pPr>
              <w:pStyle w:val="TableContents"/>
              <w:bidi w:val="0"/>
              <w:spacing w:before="0" w:after="283"/>
              <w:jc w:val="both"/>
              <w:rPr/>
            </w:pPr>
            <w:r>
              <w:rPr/>
              <w:t>A copy of the certificate of incorporation on change of name of the Company dated 29 April 2022;</w:t>
            </w:r>
          </w:p>
        </w:tc>
      </w:tr>
    </w:tbl>
    <w:p>
      <w:pPr>
        <w:pStyle w:val="TextBody"/>
        <w:bidi w:val="0"/>
        <w:spacing w:before="0" w:after="0"/>
        <w:ind w:left="709" w:right="0" w:hanging="709"/>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4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9560" w:type="dxa"/>
            <w:tcBorders/>
            <w:vAlign w:val="center"/>
          </w:tcPr>
          <w:p>
            <w:pPr>
              <w:pStyle w:val="TableContents"/>
              <w:bidi w:val="0"/>
              <w:spacing w:before="0" w:after="283"/>
              <w:jc w:val="both"/>
              <w:rPr/>
            </w:pPr>
            <w:r>
              <w:rPr/>
              <w:t>A copy of the certificate of incorporation on change of name of the Company dated 26 August 2024;</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t>A copy of the fifth amended and restated memorandum and articles of association of the Company adopted by special resolution dated 24 April 2026;</w:t>
            </w:r>
          </w:p>
        </w:tc>
      </w:tr>
    </w:tbl>
    <w:p>
      <w:pPr>
        <w:pStyle w:val="TextBody"/>
        <w:bidi w:val="0"/>
        <w:spacing w:before="0" w:after="0"/>
        <w:ind w:left="720" w:right="0" w:hanging="72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4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both"/>
              <w:rPr/>
            </w:pPr>
            <w:r>
              <w:rPr/>
              <w:t>A copy of the register of directors the Company provided to us on 27 August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 xml:space="preserve">The Register of Writs and other Originating Process of the Grand Court of the Cayman Islands (the </w:t>
            </w:r>
            <w:r>
              <w:rPr>
                <w:b/>
                <w:i/>
              </w:rPr>
              <w:t>Court Register</w:t>
            </w:r>
            <w:r>
              <w:rPr/>
              <w:t xml:space="preserve">) via the Court’s Digital System (as defined below) from the incorporation date of the Company to 7 September 2026 (the </w:t>
            </w:r>
            <w:r>
              <w:rPr>
                <w:b/>
                <w:i/>
              </w:rPr>
              <w:t>Court Search Date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t>A copy of the executed unanimous written resolutions of the board of directors of the Company dated 11 October 2022;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7" w:type="dxa"/>
            <w:tcBorders/>
            <w:vAlign w:val="center"/>
          </w:tcPr>
          <w:p>
            <w:pPr>
              <w:pStyle w:val="TableContents"/>
              <w:bidi w:val="0"/>
              <w:spacing w:before="0" w:after="283"/>
              <w:jc w:val="both"/>
              <w:rPr/>
            </w:pPr>
            <w:r>
              <w:rPr/>
              <w:t>A copy of the executed unanimous written resolutions of the directors of the Company dated 14 September 2023;</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7" w:type="dxa"/>
            <w:tcBorders/>
            <w:vAlign w:val="center"/>
          </w:tcPr>
          <w:p>
            <w:pPr>
              <w:pStyle w:val="TableContents"/>
              <w:bidi w:val="0"/>
              <w:spacing w:before="0" w:after="283"/>
              <w:jc w:val="both"/>
              <w:rPr/>
            </w:pPr>
            <w:r>
              <w:rPr/>
              <w:t>A copy of the executed unanimous written resolutions of the board of directors of the Company dated 1 September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to 9 above are the </w:t>
      </w:r>
      <w:r>
        <w:rPr>
          <w:rFonts w:ascii="Times New Roman;Times;Serif" w:hAnsi="Times New Roman;Times;Serif"/>
          <w:b/>
          <w:i/>
          <w:caps w:val="false"/>
          <w:smallCaps w:val="false"/>
          <w:sz w:val="20"/>
        </w:rPr>
        <w:t>Resolutions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7" w:type="dxa"/>
            <w:tcBorders/>
            <w:vAlign w:val="center"/>
          </w:tcPr>
          <w:p>
            <w:pPr>
              <w:pStyle w:val="TableContents"/>
              <w:bidi w:val="0"/>
              <w:spacing w:before="0" w:after="283"/>
              <w:jc w:val="both"/>
              <w:rPr/>
            </w:pPr>
            <w:r>
              <w:rPr/>
              <w:t>A copy of the certificate of good standing in respect of the Company issued by the Registrar of Companies in the Cayman Islands dated 4 September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7" w:type="dxa"/>
            <w:tcBorders/>
            <w:vAlign w:val="center"/>
          </w:tcPr>
          <w:p>
            <w:pPr>
              <w:pStyle w:val="TableContents"/>
              <w:bidi w:val="0"/>
              <w:spacing w:before="0" w:after="283"/>
              <w:jc w:val="both"/>
              <w:rPr/>
            </w:pPr>
            <w:r>
              <w:rPr/>
              <w:t xml:space="preserve">A copy of the certificate from a director of the Company dated 7 September 2026, a copy of which is attached hereto (the </w:t>
            </w:r>
            <w:r>
              <w:rPr>
                <w:b/>
                <w:i/>
              </w:rPr>
              <w:t>Director’s Certificate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6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8570" w:type="dxa"/>
            <w:tcBorders/>
            <w:vAlign w:val="center"/>
          </w:tcPr>
          <w:p>
            <w:pPr>
              <w:pStyle w:val="TableContents"/>
              <w:bidi w:val="0"/>
              <w:spacing w:before="0" w:after="283"/>
              <w:jc w:val="both"/>
              <w:rPr/>
            </w:pPr>
            <w:r>
              <w:rPr/>
              <w:t>The Registration Statement filed with the Commission on or about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6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065" w:type="dxa"/>
            <w:tcBorders/>
            <w:vAlign w:val="center"/>
          </w:tcPr>
          <w:p>
            <w:pPr>
              <w:pStyle w:val="TableContents"/>
              <w:bidi w:val="0"/>
              <w:spacing w:before="0" w:after="283"/>
              <w:jc w:val="both"/>
              <w:rPr/>
            </w:pPr>
            <w:r>
              <w:rPr/>
              <w:t xml:space="preserve">A copy of the SAI.TECH Global Corporation 2021 Equity Incentive Plan (the </w:t>
            </w:r>
            <w:r>
              <w:rPr>
                <w:b/>
                <w:i/>
              </w:rPr>
              <w:t>2021 Plan</w:t>
            </w:r>
            <w:r>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26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8660" w:type="dxa"/>
            <w:tcBorders/>
            <w:vAlign w:val="center"/>
          </w:tcPr>
          <w:p>
            <w:pPr>
              <w:pStyle w:val="TableContents"/>
              <w:bidi w:val="0"/>
              <w:spacing w:before="0" w:after="283"/>
              <w:jc w:val="both"/>
              <w:rPr/>
            </w:pPr>
            <w:r>
              <w:rPr/>
              <w:t xml:space="preserve">A copy of the SAI.TECH Global Corporation 2023 Equity Incentive Plan (the </w:t>
            </w:r>
            <w:r>
              <w:rPr>
                <w:b/>
                <w:i/>
              </w:rPr>
              <w:t>2023 Plan</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11 above are the </w:t>
      </w:r>
      <w:r>
        <w:rPr>
          <w:rFonts w:ascii="Times New Roman;Times;Serif" w:hAnsi="Times New Roman;Times;Serif"/>
          <w:b/>
          <w:i/>
          <w:caps w:val="false"/>
          <w:smallCaps w:val="false"/>
          <w:sz w:val="20"/>
        </w:rPr>
        <w:t>Corporate Documents</w:t>
      </w:r>
      <w:r>
        <w:rPr>
          <w:rFonts w:ascii="Times New Roman;Times;Serif" w:hAnsi="Times New Roman;Times;Serif"/>
          <w:b w:val="false"/>
          <w:i w:val="false"/>
          <w:caps w:val="false"/>
          <w:smallCaps w:val="false"/>
          <w:sz w:val="20"/>
        </w:rPr>
        <w:t xml:space="preserve">, and 1 to 14 above are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4395"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567"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b/>
              </w:rPr>
              <w:t xml:space="preserve">Authenticity of Documents. </w:t>
            </w:r>
            <w:r>
              <w:rPr/>
              <w:t>Copy documents or drafts of documents provided to us are true and complete copies of, or in the final forms of, the originals. All original Documents are authentic, all signatures, initials and seals are genuine.</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b/>
              </w:rPr>
              <w:t xml:space="preserve">Corporate Documents. </w:t>
            </w:r>
            <w:r>
              <w:rPr/>
              <w:t>All matters required by law to be recorded in the Corporate Documents are so recorded, and all corporate minutes, resolutions, certificates, documents and records which we have reviewed are accurate and complete, and all facts expressed in or implied thereby are accurate and complete as at the date of the passing of the Resolutions.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b/>
              </w:rPr>
              <w:t>Director’s Certificate</w:t>
            </w:r>
            <w:r>
              <w:rPr/>
              <w:t>. The contents of the Director’s Certificate are true and accurate as at the date of this opinion and there is no information not contained in the Director’s Certificate that will in any way affect this opinion.</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b/>
              </w:rPr>
              <w:t>No Steps to Wind-up</w:t>
            </w:r>
            <w:r>
              <w:rPr/>
              <w:t>. The directors and shareholders of the Company have not taken any steps to appoint a liquidator of the Company and no receiver has been appointed over any of the Company’s property or assets.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b/>
              </w:rPr>
              <w:t>Court Search.</w:t>
            </w:r>
            <w:r>
              <w:rPr/>
              <w:t xml:space="preserve"> The Court Register examined by us for the period from the date of incorporation of the Company to the Court Search Date via the Court’s Digital System on the Court Search Date, constitutes a complete record of the proceedings for such period before the Grand Court of the Cayman Islands.</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b/>
              </w:rPr>
              <w:t xml:space="preserve">Resolutions. </w:t>
            </w:r>
            <w:r>
              <w:rPr/>
              <w:t>The Resolutions have been duly executed by or on behalf of the directors, and the signatures and initials thereon are those of a person or persons in whose name the Resolutions have been expressed to be signed. The Resolutions remain in full force and effect.</w:t>
            </w:r>
          </w:p>
        </w:tc>
      </w:tr>
    </w:tbl>
    <w:p>
      <w:pPr>
        <w:pStyle w:val="TextBody"/>
        <w:bidi w:val="0"/>
        <w:spacing w:before="0" w:after="0"/>
        <w:ind w:left="567"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7" w:type="dxa"/>
            <w:tcBorders/>
            <w:vAlign w:val="center"/>
          </w:tcPr>
          <w:p>
            <w:pPr>
              <w:pStyle w:val="TableContents"/>
              <w:bidi w:val="0"/>
              <w:spacing w:before="0" w:after="283"/>
              <w:jc w:val="both"/>
              <w:rPr/>
            </w:pPr>
            <w:r>
              <w:rPr>
                <w:b/>
              </w:rPr>
              <w:t xml:space="preserve">Unseen Documents. </w:t>
            </w:r>
            <w:r>
              <w:rPr/>
              <w:t>Save for the Documents provided to us there are no resolutions, agreements, documents or arrangements which materially affect, amend or vary the transactions envisaged in the Registration Statement.</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b/>
              </w:rPr>
              <w:t>Foreign Statutes.</w:t>
            </w:r>
            <w:r>
              <w:rPr/>
              <w:t xml:space="preserve"> We express no opinion in relation to provisions making reference to foreign statutes in the Registration Statement.</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b/>
              </w:rPr>
              <w:t>Commercial Terms.</w:t>
            </w:r>
            <w:r>
              <w:rPr/>
              <w:t xml:space="preserve"> 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283"/>
              <w:jc w:val="both"/>
              <w:rPr/>
            </w:pPr>
            <w:r>
              <w:rPr>
                <w:b/>
              </w:rPr>
              <w:t>Meaning of Non-Assessable.</w:t>
            </w:r>
            <w:r>
              <w:rPr/>
              <w:t xml:space="preserve"> In this opinion the phrase </w:t>
            </w:r>
            <w:r>
              <w:rPr>
                <w:b/>
                <w:i/>
              </w:rPr>
              <w:t>non-assessable</w:t>
            </w:r>
            <w:r>
              <w:rPr/>
              <w:t xml:space="preserv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7" w:type="dxa"/>
            <w:tcBorders/>
            <w:vAlign w:val="center"/>
          </w:tcPr>
          <w:p>
            <w:pPr>
              <w:pStyle w:val="TableContents"/>
              <w:bidi w:val="0"/>
              <w:spacing w:before="0" w:after="283"/>
              <w:jc w:val="both"/>
              <w:rPr/>
            </w:pPr>
            <w:r>
              <w:rPr>
                <w:b/>
              </w:rPr>
              <w:t xml:space="preserve">Good Standing. </w:t>
            </w:r>
            <w:r>
              <w:rPr/>
              <w:t>The Company shall be deemed to be in good standing at any time if all fees (including annual filing fees) and penalties under the Law have been paid and the Registrar of Companies in the Cayman Islands has no knowledge that the Company is in default under the Law.</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b/>
              </w:rPr>
              <w:t>Court Search</w:t>
            </w:r>
            <w:r>
              <w:rPr/>
              <w:t xml:space="preserve">. The search of the Court Register has been undertaken on a digital system made available through the Grand Court of the Cayman Islands (the </w:t>
            </w:r>
            <w:r>
              <w:rPr>
                <w:b/>
                <w:i/>
              </w:rPr>
              <w:t>Court’s Digital System</w:t>
            </w:r>
            <w:r>
              <w:rPr/>
              <w:t>), and through inadvertent errors or delays in updating such digital system (and/or the Court Register from which the digital information is drawn) may not constitute a complete record of all proceedings as at the Court Search Date and in particular may omit details of very recent filings. The search of the Court Register would not reveal, amongst other things, any writ, originating summons, originating motion, petition (including any winding-up petition), counterclaim or third party notice (</w:t>
            </w:r>
            <w:r>
              <w:rPr>
                <w:b/>
                <w:i/>
              </w:rPr>
              <w:t>Originating Process</w:t>
            </w:r>
            <w:r>
              <w:rPr/>
              <w:t>) filed with the Grand Court of the Cayman Islands which, pursuant to the rules of the Grand Court of the Cayman Islands or best practice of the Clerk of the Courts’ office, should have been entered in the Court Register but was not in fact entered in the Court Register (properly or at all), or any Originating Process which has been placed under seal or anonymised (whether by order of the Court or pursuant to the practice of the Clerk of the Courts’ office).</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b/>
              </w:rPr>
              <w:t>Economic Substance</w:t>
            </w:r>
            <w:r>
              <w:rPr/>
              <w:t>. We have undertaken no enquiry and express no view as to the compliance of the Company with the International Tax Co-operation (Economic Substance) Act (Revised).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30480201ex23-2.htm"/>
      <w:bookmarkStart w:id="6" w:name="ksea030480201ex232"/>
      <w:bookmarkEnd w:id="5"/>
      <w:bookmarkEnd w:id="6"/>
      <w:r>
        <w:rPr>
          <w:b/>
        </w:rPr>
        <w:t>Exhibit 23.2</w:t>
      </w:r>
      <w:r>
        <w:br w:type="page"/>
      </w:r>
    </w:p>
    <w:p>
      <w:pPr>
        <w:pStyle w:val="TextBody"/>
        <w:bidi w:val="0"/>
        <w:spacing w:before="0" w:after="0"/>
        <w:ind w:left="1367" w:right="0" w:hanging="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900"/>
        <w:gridCol w:w="2120"/>
        <w:gridCol w:w="2865"/>
      </w:tblGrid>
      <w:tr>
        <w:trPr/>
        <w:tc>
          <w:tcPr>
            <w:tcW w:w="900" w:type="dxa"/>
            <w:tcBorders/>
            <w:vAlign w:val="center"/>
          </w:tcPr>
          <w:p>
            <w:pPr>
              <w:pStyle w:val="TableContents"/>
              <w:bidi w:val="0"/>
              <w:spacing w:before="0" w:after="283"/>
              <w:jc w:val="both"/>
              <w:rPr/>
            </w:pPr>
            <w:r>
              <w:rPr/>
              <w:t> </w:t>
            </w:r>
            <w:r>
              <w:rPr/>
              <w:drawing>
                <wp:inline distT="0" distB="0" distL="0" distR="0">
                  <wp:extent cx="5238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523875" cy="495300"/>
                          </a:xfrm>
                          <a:prstGeom prst="rect">
                            <a:avLst/>
                          </a:prstGeom>
                        </pic:spPr>
                      </pic:pic>
                    </a:graphicData>
                  </a:graphic>
                </wp:inline>
              </w:drawing>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ALLIANCE LLP</w:t>
            </w:r>
            <w:r>
              <w:rPr>
                <w:rFonts w:ascii="Times New Roman;Times;Serif" w:hAnsi="Times New Roman;Times;Serif"/>
                <w:b/>
                <w:position w:val="7"/>
                <w:sz w:val="16"/>
                <w:sz w:val="20"/>
              </w:rPr>
              <w:t>®</w:t>
            </w:r>
          </w:p>
        </w:tc>
        <w:tc>
          <w:tcPr>
            <w:tcW w:w="2865" w:type="dxa"/>
            <w:tcBorders/>
            <w:vAlign w:val="center"/>
          </w:tcPr>
          <w:p>
            <w:pPr>
              <w:pStyle w:val="TableContents"/>
              <w:bidi w:val="0"/>
              <w:spacing w:before="0" w:after="283"/>
              <w:jc w:val="right"/>
              <w:rPr/>
            </w:pPr>
            <w:r>
              <w:rPr/>
              <w:drawing>
                <wp:inline distT="0" distB="0" distL="0" distR="0">
                  <wp:extent cx="18097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809750" cy="3810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75"/>
        <w:gridCol w:w="5180"/>
      </w:tblGrid>
      <w:tr>
        <w:trPr/>
        <w:tc>
          <w:tcPr>
            <w:tcW w:w="75" w:type="dxa"/>
            <w:tcBorders/>
            <w:vAlign w:val="center"/>
          </w:tcPr>
          <w:p>
            <w:pPr>
              <w:pStyle w:val="TableContents"/>
              <w:bidi w:val="0"/>
              <w:spacing w:before="0" w:after="283"/>
              <w:jc w:val="both"/>
              <w:rPr/>
            </w:pPr>
            <w:r>
              <w:rPr/>
              <w:t> </w:t>
            </w:r>
          </w:p>
        </w:tc>
        <w:tc>
          <w:tcPr>
            <w:tcW w:w="5180" w:type="dxa"/>
            <w:tcBorders/>
            <w:vAlign w:val="center"/>
          </w:tcPr>
          <w:p>
            <w:pPr>
              <w:pStyle w:val="TableContents"/>
              <w:bidi w:val="0"/>
              <w:spacing w:before="0" w:after="283"/>
              <w:jc w:val="both"/>
              <w:rPr>
                <w:sz w:val="20"/>
              </w:rPr>
            </w:pPr>
            <w:r>
              <w:rPr>
                <w:sz w:val="20"/>
              </w:rPr>
              <w:t xml:space="preserve">A Top 18 Audit Firm </w:t>
            </w:r>
          </w:p>
        </w:tc>
      </w:tr>
      <w:tr>
        <w:trPr/>
        <w:tc>
          <w:tcPr>
            <w:tcW w:w="75" w:type="dxa"/>
            <w:tcBorders/>
            <w:vAlign w:val="center"/>
          </w:tcPr>
          <w:p>
            <w:pPr>
              <w:pStyle w:val="TableContents"/>
              <w:bidi w:val="0"/>
              <w:spacing w:before="0" w:after="283"/>
              <w:jc w:val="both"/>
              <w:rPr/>
            </w:pPr>
            <w:r>
              <w:rPr/>
              <w:t> </w:t>
            </w:r>
          </w:p>
        </w:tc>
        <w:tc>
          <w:tcPr>
            <w:tcW w:w="5180" w:type="dxa"/>
            <w:tcBorders/>
            <w:vAlign w:val="center"/>
          </w:tcPr>
          <w:p>
            <w:pPr>
              <w:pStyle w:val="TableContents"/>
              <w:bidi w:val="0"/>
              <w:spacing w:before="0" w:after="283"/>
              <w:jc w:val="both"/>
              <w:rPr>
                <w:sz w:val="20"/>
              </w:rPr>
            </w:pPr>
            <w:r>
              <w:rPr>
                <w:sz w:val="20"/>
              </w:rPr>
              <w:t>10 Anson Road, #20-16 International Plaza, Singapore 079903.</w:t>
            </w:r>
          </w:p>
        </w:tc>
      </w:tr>
    </w:tbl>
    <w:p>
      <w:pPr>
        <w:pStyle w:val="TextBody"/>
        <w:bidi w:val="0"/>
        <w:spacing w:before="0" w:after="0"/>
        <w:jc w:val="center"/>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75"/>
        <w:gridCol w:w="1985"/>
        <w:gridCol w:w="1355"/>
        <w:gridCol w:w="1340"/>
        <w:gridCol w:w="1940"/>
      </w:tblGrid>
      <w:tr>
        <w:trPr/>
        <w:tc>
          <w:tcPr>
            <w:tcW w:w="75" w:type="dxa"/>
            <w:tcBorders/>
            <w:vAlign w:val="center"/>
          </w:tcPr>
          <w:p>
            <w:pPr>
              <w:pStyle w:val="TableContents"/>
              <w:bidi w:val="0"/>
              <w:spacing w:before="0" w:after="283"/>
              <w:jc w:val="both"/>
              <w:rPr/>
            </w:pPr>
            <w:r>
              <w:rPr/>
              <w:t> </w:t>
            </w:r>
          </w:p>
        </w:tc>
        <w:tc>
          <w:tcPr>
            <w:tcW w:w="1985" w:type="dxa"/>
            <w:tcBorders/>
            <w:vAlign w:val="center"/>
          </w:tcPr>
          <w:p>
            <w:pPr>
              <w:pStyle w:val="TableContents"/>
              <w:bidi w:val="0"/>
              <w:spacing w:before="0" w:after="283"/>
              <w:jc w:val="both"/>
              <w:rPr/>
            </w:pPr>
            <w:r>
              <w:rPr/>
              <w:t>UEN: T12LL1223B</w:t>
            </w:r>
          </w:p>
        </w:tc>
        <w:tc>
          <w:tcPr>
            <w:tcW w:w="1355" w:type="dxa"/>
            <w:tcBorders/>
            <w:vAlign w:val="center"/>
          </w:tcPr>
          <w:p>
            <w:pPr>
              <w:pStyle w:val="TableContents"/>
              <w:bidi w:val="0"/>
              <w:spacing w:before="0" w:after="283"/>
              <w:jc w:val="both"/>
              <w:rPr/>
            </w:pPr>
            <w:r>
              <w:rPr/>
              <w:t>GST Reg No:</w:t>
            </w:r>
          </w:p>
        </w:tc>
        <w:tc>
          <w:tcPr>
            <w:tcW w:w="1340" w:type="dxa"/>
            <w:tcBorders/>
            <w:vAlign w:val="center"/>
          </w:tcPr>
          <w:p>
            <w:pPr>
              <w:pStyle w:val="TableContents"/>
              <w:bidi w:val="0"/>
              <w:spacing w:before="0" w:after="283"/>
              <w:jc w:val="both"/>
              <w:rPr/>
            </w:pPr>
            <w:r>
              <w:rPr/>
              <w:t>M90367663E</w:t>
            </w:r>
          </w:p>
        </w:tc>
        <w:tc>
          <w:tcPr>
            <w:tcW w:w="1940" w:type="dxa"/>
            <w:tcBorders/>
            <w:vAlign w:val="center"/>
          </w:tcPr>
          <w:p>
            <w:pPr>
              <w:pStyle w:val="TableContents"/>
              <w:bidi w:val="0"/>
              <w:spacing w:before="0" w:after="283"/>
              <w:jc w:val="both"/>
              <w:rPr/>
            </w:pPr>
            <w:r>
              <w:rPr/>
              <w:t>Tel: (65) 6227 5428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April 28, 2025, with respect to the consolidated financial statements of SAIHEAT Limited and its subsidiaries, appearing in its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pPr>
      <w:r>
        <w:rPr/>
        <w:t> </w:t>
      </w:r>
    </w:p>
    <w:p>
      <w:pPr>
        <w:pStyle w:val="TextBody"/>
        <w:bidi w:val="0"/>
        <w:spacing w:before="0" w:after="0"/>
        <w:ind w:left="5067" w:right="0" w:hanging="0"/>
        <w:jc w:val="right"/>
        <w:rPr>
          <w:rFonts w:ascii="Times New Roman;Times;Serif" w:hAnsi="Times New Roman;Times;Serif"/>
          <w:b/>
          <w:i w:val="false"/>
          <w:caps w:val="false"/>
          <w:smallCaps w:val="false"/>
          <w:sz w:val="20"/>
        </w:rPr>
      </w:pPr>
      <w:bookmarkStart w:id="7" w:name="ea030480201ex23-3.htm"/>
      <w:bookmarkStart w:id="8" w:name="ksea030480201ex233"/>
      <w:bookmarkEnd w:id="7"/>
      <w:bookmarkEnd w:id="8"/>
      <w:r>
        <w:rPr>
          <w:rFonts w:ascii="Times New Roman;Times;Serif" w:hAnsi="Times New Roman;Times;Serif"/>
          <w:b/>
          <w:i w:val="false"/>
          <w:caps w:val="false"/>
          <w:smallCaps w:val="false"/>
          <w:sz w:val="20"/>
        </w:rPr>
        <w:t>Exhibit 23.3</w:t>
      </w:r>
      <w:r>
        <w:br w:type="page"/>
      </w:r>
    </w:p>
    <w:p>
      <w:pPr>
        <w:pStyle w:val="TextBody"/>
        <w:bidi w:val="0"/>
        <w:spacing w:before="0" w:after="0"/>
        <w:ind w:left="5067" w:right="0" w:hanging="0"/>
        <w:jc w:val="right"/>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3555"/>
        <w:gridCol w:w="60"/>
        <w:gridCol w:w="5270"/>
      </w:tblGrid>
      <w:tr>
        <w:trPr/>
        <w:tc>
          <w:tcPr>
            <w:tcW w:w="3555" w:type="dxa"/>
            <w:tcBorders/>
            <w:vAlign w:val="center"/>
          </w:tcPr>
          <w:p>
            <w:pPr>
              <w:pStyle w:val="TableContents"/>
              <w:bidi w:val="0"/>
              <w:spacing w:before="0" w:after="283"/>
              <w:jc w:val="left"/>
              <w:rPr/>
            </w:pPr>
            <w:r>
              <w:rPr/>
              <w:drawing>
                <wp:inline distT="0" distB="0" distL="0" distR="0">
                  <wp:extent cx="2209800"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2209800" cy="657225"/>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Assentsure PAC</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UEN – 201816648N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180B Bencoolen Street #03-01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Bencoolen Singapore 189648 http://www.assentsure.com.sg</w:t>
            </w:r>
          </w:p>
        </w:tc>
      </w:tr>
    </w:tbl>
    <w:p>
      <w:pPr>
        <w:pStyle w:val="TextBody"/>
        <w:bidi w:val="0"/>
        <w:spacing w:before="0" w:after="0"/>
        <w:ind w:left="5067"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April 30, 2026, with respect to the consolidated financial statements of SAIHEAT Limited and its subsidiaries, appearing in its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9" w:name="ea030480201ex-fee.htm"/>
      <w:bookmarkStart w:id="10" w:name="ksea0304802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SAIHEAT Limited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2"/>
        <w:gridCol w:w="60"/>
        <w:gridCol w:w="1098"/>
        <w:gridCol w:w="60"/>
        <w:gridCol w:w="575"/>
        <w:gridCol w:w="60"/>
        <w:gridCol w:w="1127"/>
        <w:gridCol w:w="60"/>
        <w:gridCol w:w="1081"/>
        <w:gridCol w:w="60"/>
        <w:gridCol w:w="223"/>
        <w:gridCol w:w="893"/>
        <w:gridCol w:w="60"/>
        <w:gridCol w:w="153"/>
        <w:gridCol w:w="1403"/>
        <w:gridCol w:w="60"/>
        <w:gridCol w:w="1040"/>
        <w:gridCol w:w="60"/>
        <w:gridCol w:w="175"/>
        <w:gridCol w:w="1105"/>
      </w:tblGrid>
      <w:tr>
        <w:trPr/>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r>
      <w:tr>
        <w:trPr/>
        <w:tc>
          <w:tcPr>
            <w:tcW w:w="852"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98"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7"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81"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r>
      <w:tr>
        <w:trPr/>
        <w:tc>
          <w:tcPr>
            <w:tcW w:w="852"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Class A ordinary shares, par value $0.0015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367,619</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893" w:type="dxa"/>
            <w:tcBorders/>
            <w:vAlign w:val="center"/>
          </w:tcPr>
          <w:p>
            <w:pPr>
              <w:pStyle w:val="TableContents"/>
              <w:bidi w:val="0"/>
              <w:spacing w:before="0" w:after="283"/>
              <w:jc w:val="right"/>
              <w:rPr/>
            </w:pPr>
            <w:r>
              <w:rPr/>
              <w:t>26.17</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403" w:type="dxa"/>
            <w:tcBorders/>
            <w:vAlign w:val="center"/>
          </w:tcPr>
          <w:p>
            <w:pPr>
              <w:pStyle w:val="TableContents"/>
              <w:bidi w:val="0"/>
              <w:spacing w:before="0" w:after="283"/>
              <w:jc w:val="right"/>
              <w:rPr/>
            </w:pPr>
            <w:r>
              <w:rPr/>
              <w:t>9,620,589.23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1105" w:type="dxa"/>
            <w:tcBorders/>
            <w:vAlign w:val="center"/>
          </w:tcPr>
          <w:p>
            <w:pPr>
              <w:pStyle w:val="TableContents"/>
              <w:bidi w:val="0"/>
              <w:spacing w:before="0" w:after="283"/>
              <w:jc w:val="right"/>
              <w:rPr/>
            </w:pPr>
            <w:r>
              <w:rPr/>
              <w:t>1,328.61</w:t>
            </w:r>
          </w:p>
        </w:tc>
      </w:tr>
      <w:tr>
        <w:trPr/>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49"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403" w:type="dxa"/>
            <w:tcBorders/>
            <w:vAlign w:val="center"/>
          </w:tcPr>
          <w:p>
            <w:pPr>
              <w:pStyle w:val="TableContents"/>
              <w:bidi w:val="0"/>
              <w:spacing w:before="0" w:after="283"/>
              <w:jc w:val="right"/>
              <w:rPr/>
            </w:pPr>
            <w:r>
              <w:rPr/>
              <w:t>9,620,589.23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right"/>
              <w:rPr/>
            </w:pPr>
            <w:r>
              <w:rPr/>
              <w:t>1,328.61</w:t>
            </w:r>
          </w:p>
        </w:tc>
      </w:tr>
      <w:tr>
        <w:trPr/>
        <w:tc>
          <w:tcPr>
            <w:tcW w:w="6149"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49"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double" w:sz="8" w:space="0" w:color="000000"/>
            </w:tcBorders>
            <w:tcMar>
              <w:bottom w:w="28" w:type="dxa"/>
            </w:tcMar>
            <w:vAlign w:val="center"/>
          </w:tcPr>
          <w:p>
            <w:pPr>
              <w:pStyle w:val="TableContents"/>
              <w:bidi w:val="0"/>
              <w:spacing w:before="0" w:after="283"/>
              <w:jc w:val="left"/>
              <w:rPr/>
            </w:pPr>
            <w:r>
              <w:rPr/>
              <w:t>$</w:t>
            </w:r>
          </w:p>
        </w:tc>
        <w:tc>
          <w:tcPr>
            <w:tcW w:w="1105" w:type="dxa"/>
            <w:tcBorders>
              <w:bottom w:val="double" w:sz="8" w:space="0" w:color="000000"/>
            </w:tcBorders>
            <w:tcMar>
              <w:bottom w:w="28" w:type="dxa"/>
            </w:tcMar>
            <w:vAlign w:val="center"/>
          </w:tcPr>
          <w:p>
            <w:pPr>
              <w:pStyle w:val="TableContents"/>
              <w:bidi w:val="0"/>
              <w:spacing w:before="0" w:after="283"/>
              <w:jc w:val="right"/>
              <w:rPr/>
            </w:pPr>
            <w:r>
              <w:rPr/>
              <w:t>1,328.61</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This registration statement on Form S-8 (this “Registration Statement”) registers Class A ordinary shares, par value of $0.0015 per share (the “Class A Ordinary Shares”), of SAIHEAT Limited (the “Registrant”) issuable pursuant to SAI.TECH Global Corporation 2021 Equity Incentive Plan (the “2021 Plan”) and SAI.TECH Global Corporation 2023 Equity Incentive Plan (the “2023 Plan,” and together with the 2021 Plan, the “Plans”). Pursuant to the Plans, (i) an additional 150,961 Class A Ordinary Shares are issuable under the 2021 Plan, and (ii) an additional 216,658 Class A Ordinary Shares are issuable under the 2023 Plan. In accordance with Rule 416(a) under the Securities Act of 1933, as amended (the “Securities Act”), this Registration Statement also covers an indeterminate number of additional securities which may be offered and issued under the Plans to prevent dilution from share splits, share dividends, or similar transactions as provided in the Plans.</w:t>
              <w:br/>
              <w:br/>
              <w:t>Estimated for the sole purpose of computing the registration fee in accordance with Rule 457(c) and Rule 457(h) under the Securities Act. The price per share and aggregate offering price are based on the average of the high and low prices of the Registrant’s Class A Ordinary Shares on September 4, 2026, as reported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7075/000121390026050380/ea0286826-20f_saiheat.htm" TargetMode="External"/><Relationship Id="rId3" Type="http://schemas.openxmlformats.org/officeDocument/2006/relationships/hyperlink" Target="https://www.sec.gov/Archives/edgar/data/1847075/000121390026065886/ea0292295-6k_saiheat.htm" TargetMode="External"/><Relationship Id="rId4" Type="http://schemas.openxmlformats.org/officeDocument/2006/relationships/hyperlink" Target="https://www.sec.gov/Archives/edgar/data/1847075/000121390026087323/ea0301306-6k_saiheat.htm" TargetMode="External"/><Relationship Id="rId5" Type="http://schemas.openxmlformats.org/officeDocument/2006/relationships/hyperlink" Target="https://www.sec.gov/Archives/edgar/data/1847075/000121390026088579/ea0301686-6k_saiheat.htm" TargetMode="External"/><Relationship Id="rId6" Type="http://schemas.openxmlformats.org/officeDocument/2006/relationships/hyperlink" Target="https://www.sec.gov/Archives/edgar/data/1847075/000121390026093961/ea0303477-6k_saiheat.htm" TargetMode="External"/><Relationship Id="rId7" Type="http://schemas.openxmlformats.org/officeDocument/2006/relationships/hyperlink" Target="https://www.sec.gov/Archives/edgar/data/1847075/000121390023031047/f20f2022ex2-2_saitech.htm" TargetMode="External"/><Relationship Id="rId8" Type="http://schemas.openxmlformats.org/officeDocument/2006/relationships/hyperlink" Target="https://www.sec.gov/Archives/edgar/data/1847075/000121390026048198/ea028782401ex3-2.htm" TargetMode="External"/><Relationship Id="rId9" Type="http://schemas.openxmlformats.org/officeDocument/2006/relationships/hyperlink" Target="https://www.sec.gov/Archives/edgar/data/1847075/000121390023076705/ea185158ex10-1_saitech.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4968</Words>
  <Characters>26071</Characters>
  <CharactersWithSpaces>31074</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