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0" w:name="ea0296056-f3_saiheat.htm"/>
      <w:bookmarkStart w:id="1" w:name="ksea0296056f3_saiheat"/>
      <w:bookmarkEnd w:id="0"/>
      <w:bookmarkEnd w:id="1"/>
      <w:r>
        <w:rPr>
          <w:rFonts w:ascii="Times New Roman;Times;Serif" w:hAnsi="Times New Roman;Times;Serif"/>
          <w:b/>
          <w:i w:val="false"/>
          <w:caps w:val="false"/>
          <w:smallCaps w:val="false"/>
          <w:sz w:val="20"/>
        </w:rPr>
        <w:t>As filed with the Securities and Exchange Commission on July 2,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Cayman Islands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#266A South Bridge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#02-01 Singapore (058815)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9656 5641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Avenue, Suite 204</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DE 19711</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 738-6680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jc w:val="center"/>
        <w:rPr>
          <w:caps w:val="false"/>
          <w:smallCaps w:val="false"/>
        </w:rPr>
      </w:pPr>
      <w:r>
        <w:rPr>
          <w:caps w:val="false"/>
          <w:smallCaps w:val="false"/>
        </w:rPr>
        <w:t> </w:t>
      </w:r>
    </w:p>
    <w:tbl>
      <w:tblPr>
        <w:tblW w:w="2600" w:type="dxa"/>
        <w:jc w:val="left"/>
        <w:tblInd w:w="0" w:type="dxa"/>
        <w:tblLayout w:type="fixed"/>
        <w:tblCellMar>
          <w:top w:w="0" w:type="dxa"/>
          <w:left w:w="0" w:type="dxa"/>
          <w:bottom w:w="0" w:type="dxa"/>
          <w:right w:w="0" w:type="dxa"/>
        </w:tblCellMar>
      </w:tblPr>
      <w:tblGrid>
        <w:gridCol w:w="2600"/>
      </w:tblGrid>
      <w:tr>
        <w:trPr/>
        <w:tc>
          <w:tcPr>
            <w:tcW w:w="260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Yile Gao, Esq.</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Morgan, Lewis &amp; Bockius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19th Floor, Edinburgh Tower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Landmark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15 Queen’s Road Central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Hong Kong, SAR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+852 3551 8500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contained in this prospectus is not complete and may be changed. No securities may be sold pursuant to this prospectus until the registration statement filed with the Securities and Exchange Commission with respect to such securities has been declared effective. This prospectus is not an offer to sell these securities and no offers to buy these securities are being solicited in any jurisdiction where their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2, 2026</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FOR</w:t>
        <w:br/>
        <w:t>UP TO $300,000,000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WARRANTS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RIGHTS 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b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offer and sell up to $300,000,000 of our Class A Ordinary Shares (as defined below), debt securities, warrants, rights, and units, or any combination thereof, including in one or more series, together or separately, as described in this prospectus. We may also offer securities of the types listed above that are convertible or exchangeable into one or more of the securities listed above. In this prospectus, references to the term “securities” refers, collectively, to our Class A Ordinary Shares, debt securities, warrants, rights, and units, and securities that may be convertible or exchangeable into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additionally, from time to time, offer to sell the securities, through public or private transactions, directly or through underwriters, agents or dealers, on or off the Nasdaq Capital Market, as applicable, at prevailing market prices or at privately negotiated prices. If any underwriters, agents or dealers are involved in the sale of any of these securities, the applicable prospectus supplement will set forth the names of the underwriter, agent or dealer and any applicable fees, commissions or discounts. The prospectus supplement for each offering of securities will describe in detail the plan of distribution for that offering. For general information about the distribution of the securities offered, please see “Plan of Distribution”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provides a general description of the securities we may offer. Each time we sell securities pursuant to this prospectus, we will provide a supplement to this prospectus that contains specific information about the offeror, the offering and the specific terms of the securities offered. </w:t>
      </w:r>
      <w:r>
        <w:rPr>
          <w:rFonts w:ascii="Times New Roman;Times;Serif" w:hAnsi="Times New Roman;Times;Serif"/>
          <w:b/>
          <w:i w:val="false"/>
          <w:caps w:val="false"/>
          <w:smallCaps w:val="false"/>
          <w:sz w:val="20"/>
        </w:rPr>
        <w:t>This prospectus may not be used to offer or sell any securities unless accompanied by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also authorize one or more free writing prospectuses to be provided to you in connection with these offerings. The prospectus supplement and any related free writing prospectus may add, update, or change information contained in this prospectus. </w:t>
      </w:r>
      <w:r>
        <w:rPr>
          <w:rFonts w:ascii="Times New Roman;Times;Serif" w:hAnsi="Times New Roman;Times;Serif"/>
          <w:b/>
          <w:i w:val="false"/>
          <w:caps w:val="false"/>
          <w:smallCaps w:val="false"/>
          <w:sz w:val="20"/>
        </w:rPr>
        <w:t>You should carefully read this prospectus, the applicable prospectus supplement, and any related free writing prospectus, as well as the documents incorporated or deemed to be incorporated by reference, before you invest in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On June 26, 2023, we filed with the SEC a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333-272916) utilizing a shelf registration process, which registration statement was declared effective on August 17, 2023, or the 2023 F-3. Under this shelf registration process, we were initially entitled to, from time to time, sell up to $300 million in the aggregate of Class A Ordinary Shares, debt, warrants, rights and units. As of the date of this prospectus, we have not offered or sold any securities under 2023 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F-3 will expire on August 17, 2026 and therefore, we are filing this registration statement as a new shelf registration statement, with unsold securities and fees paid under the “expiring” registration statement rolled over herein.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and warrants (the “IPO Warrants”) are listed on the Nasdaq Capital Market, or “Nasdaq,” under the symbol “SAI” and “SAITW,” respectively. On June 30, 2026, the last reported sale price of our Class A Ordinary Shares and IPO Warrants on Nasdaq was $11.60 per share and $172.5 per warrant. Each Class A Ordinary Share shall be entitled to one (1) vote on all matters subject to a vote of shareholders, and each Class B Ordinary Share (as defined below) shall be entitled to ten (10) votes on all matters subject to a vote of shareholders. See the section entitled “Description of Ordinary Shares, IPO Warrants and Articles of Association – Ordinary Shares – Voting Rights”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General Instruction I.B.5 of Form F-3, in no event will we sell our securities in a public primary offering with a value exceeding more than one-third of our public float in any 12-month period so long as our public float remains below $75 million. The aggregate market value of our issued and outstanding Class A Ordinary Shares held by non-affiliates, as of June 30, 2026, was approximately $13.80 million, which was calculated based on 1,189,428 Class A Ordinary Shares held by non-affiliates and the per share price of S$11.60, which was the closing price of our Class A Ordinary Shares on June 30, 2026. During the 12 calendar months prior to and including the date of this prospectus, we have not offered or sold any securities pursuant to General Instruction I.B.5 of Form F-3.</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in the Jumpstart Our Business Startups Act of 2012 and are therefore eligible to take advantage of certain reduced reporting requirements otherwise applicable to other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also a “foreign private issuer,” as defined in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under Section 16 of the Exchange Act. Moreover, we are not required to file periodic reports and financial statements with the SEC as frequently or as promptly as U.S. companies whose securities are registered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“controlled company” as defined under the Nasdaq Stock Market Rules. To Ma indirectly holds more than 50% of the shareholder voting power of our outstanding share capital through his directly owned company, Energy Science Artist Holding Limited, and can exert substantial influence over matters such as electing directors and approving material mergers, acquisitions, strategic collaborations or other business combination transactions. For so long as we remain a controlled company as defined under that rule, we are exempt from, and our shareholders generally are not provided with the benefits of, some of the Nasdaq Stock Market corporate governance requirements, including that our board be comprised of a majority of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buying any securities you should carefully read the discussion of material risks of investing in such securities in “</w:t>
      </w:r>
      <w:r>
        <w:rPr>
          <w:rFonts w:ascii="Times New Roman;Times;Serif" w:hAnsi="Times New Roman;Times;Serif"/>
          <w:b/>
          <w:i w:val="false"/>
          <w:caps w:val="false"/>
          <w:smallCaps w:val="false"/>
          <w:sz w:val="20"/>
          <w:u w:val="single"/>
        </w:rPr>
        <w:t>Risk Factors</w:t>
      </w:r>
      <w:r>
        <w:rPr>
          <w:rFonts w:ascii="Times New Roman;Times;Serif" w:hAnsi="Times New Roman;Times;Serif"/>
          <w:b/>
          <w:i w:val="false"/>
          <w:caps w:val="false"/>
          <w:smallCaps w:val="false"/>
          <w:sz w:val="20"/>
        </w:rPr>
        <w:t>” beginning on page 7 of this prospectus and other risk factors set forth in our annual report on Form 20-F for the fiscal year ended December 31, 2025, which is incorporated herein by reference and in other reports incorporated herein by reference. We may include specific risk factors in an applicable prospectus supplement under the heading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July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5"/>
        <w:gridCol w:w="530"/>
      </w:tblGrid>
      <w:tr>
        <w:trPr/>
        <w:tc>
          <w:tcPr>
            <w:tcW w:w="9675"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b/>
              </w:rPr>
            </w:pPr>
            <w:r>
              <w:rPr>
                <w:b/>
              </w:rPr>
              <w:t>Page</w:t>
            </w:r>
          </w:p>
        </w:tc>
      </w:tr>
      <w:tr>
        <w:trPr/>
        <w:tc>
          <w:tcPr>
            <w:tcW w:w="9675" w:type="dxa"/>
            <w:tcBorders/>
            <w:shd w:fill="CCEEFF" w:val="clear"/>
            <w:vAlign w:val="center"/>
          </w:tcPr>
          <w:p>
            <w:pPr>
              <w:pStyle w:val="TableContents"/>
              <w:bidi w:val="0"/>
              <w:spacing w:before="0" w:after="283"/>
              <w:jc w:val="left"/>
              <w:rPr/>
            </w:pPr>
            <w:hyperlink w:anchor="ABOUTTHISPROSPECTUS">
              <w:r>
                <w:rPr>
                  <w:rStyle w:val="InternetLink"/>
                </w:rPr>
                <w:t>ABOUT THIS PROSPECTUS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9675" w:type="dxa"/>
            <w:tcBorders/>
            <w:shd w:fill="FFFFFF" w:val="clear"/>
            <w:vAlign w:val="center"/>
          </w:tcPr>
          <w:p>
            <w:pPr>
              <w:pStyle w:val="TableContents"/>
              <w:bidi w:val="0"/>
              <w:spacing w:before="0" w:after="283"/>
              <w:jc w:val="left"/>
              <w:rPr/>
            </w:pPr>
            <w:hyperlink w:anchor="CAUTIONARYSTATEMENTREGARDINGFORWARD-LOOKINGSTATEMENTS">
              <w:r>
                <w:rPr>
                  <w:rStyle w:val="InternetLink"/>
                </w:rPr>
                <w:t>CAUTIONARY STATEMENT REGARDING FORWARD-LOOKING STATEMENTS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9675" w:type="dxa"/>
            <w:tcBorders/>
            <w:shd w:fill="CCEEFF" w:val="clear"/>
            <w:vAlign w:val="center"/>
          </w:tcPr>
          <w:p>
            <w:pPr>
              <w:pStyle w:val="TableContents"/>
              <w:bidi w:val="0"/>
              <w:spacing w:before="0" w:after="283"/>
              <w:jc w:val="left"/>
              <w:rPr/>
            </w:pPr>
            <w:hyperlink w:anchor="MARKETINDUSTRYANDOTHERDATA">
              <w:r>
                <w:rPr>
                  <w:rStyle w:val="InternetLink"/>
                </w:rPr>
                <w:t>MARKET, INDUSTRY AND OTHER DATA</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r>
      <w:tr>
        <w:trPr/>
        <w:tc>
          <w:tcPr>
            <w:tcW w:w="9675" w:type="dxa"/>
            <w:tcBorders/>
            <w:shd w:fill="FFFFFF" w:val="clear"/>
            <w:vAlign w:val="center"/>
          </w:tcPr>
          <w:p>
            <w:pPr>
              <w:pStyle w:val="TableContents"/>
              <w:bidi w:val="0"/>
              <w:spacing w:before="0" w:after="283"/>
              <w:jc w:val="left"/>
              <w:rPr/>
            </w:pPr>
            <w:hyperlink w:anchor="TRADEMARKS">
              <w:r>
                <w:rPr>
                  <w:rStyle w:val="InternetLink"/>
                </w:rPr>
                <w:t>TRADEMARKS, TRADE NAMES AND SERVICE MARKS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r>
      <w:tr>
        <w:trPr/>
        <w:tc>
          <w:tcPr>
            <w:tcW w:w="9675" w:type="dxa"/>
            <w:tcBorders/>
            <w:shd w:fill="CCEEFF" w:val="clear"/>
            <w:vAlign w:val="center"/>
          </w:tcPr>
          <w:p>
            <w:pPr>
              <w:pStyle w:val="TableContents"/>
              <w:bidi w:val="0"/>
              <w:spacing w:before="0" w:after="283"/>
              <w:jc w:val="left"/>
              <w:rPr/>
            </w:pPr>
            <w:hyperlink w:anchor="SELECTED">
              <w:r>
                <w:rPr>
                  <w:rStyle w:val="InternetLink"/>
                </w:rPr>
                <w:t>SELECTED DEFINITIONS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w:t>
            </w:r>
          </w:p>
        </w:tc>
      </w:tr>
      <w:tr>
        <w:trPr/>
        <w:tc>
          <w:tcPr>
            <w:tcW w:w="9675" w:type="dxa"/>
            <w:tcBorders/>
            <w:shd w:fill="FFFFFF" w:val="clear"/>
            <w:vAlign w:val="center"/>
          </w:tcPr>
          <w:p>
            <w:pPr>
              <w:pStyle w:val="TableContents"/>
              <w:bidi w:val="0"/>
              <w:spacing w:before="0" w:after="283"/>
              <w:jc w:val="left"/>
              <w:rPr/>
            </w:pPr>
            <w:hyperlink w:anchor="SUMMARY">
              <w:r>
                <w:rPr>
                  <w:rStyle w:val="InternetLink"/>
                </w:rPr>
                <w:t>SUMMARY</w:t>
              </w:r>
            </w:hyperlink>
          </w:p>
        </w:tc>
        <w:tc>
          <w:tcPr>
            <w:tcW w:w="530" w:type="dxa"/>
            <w:tcBorders/>
            <w:shd w:fill="FFFFFF" w:val="clear"/>
            <w:vAlign w:val="center"/>
          </w:tcPr>
          <w:p>
            <w:pPr>
              <w:pStyle w:val="TableContents"/>
              <w:bidi w:val="0"/>
              <w:spacing w:before="0" w:after="283"/>
              <w:jc w:val="center"/>
              <w:rPr/>
            </w:pPr>
            <w:r>
              <w:rPr/>
              <w:t>1</w:t>
            </w:r>
          </w:p>
        </w:tc>
      </w:tr>
      <w:tr>
        <w:trPr/>
        <w:tc>
          <w:tcPr>
            <w:tcW w:w="9675" w:type="dxa"/>
            <w:tcBorders/>
            <w:shd w:fill="CCEEFF" w:val="clear"/>
            <w:vAlign w:val="center"/>
          </w:tcPr>
          <w:p>
            <w:pPr>
              <w:pStyle w:val="TableContents"/>
              <w:bidi w:val="0"/>
              <w:spacing w:before="0" w:after="283"/>
              <w:jc w:val="left"/>
              <w:rPr/>
            </w:pPr>
            <w:hyperlink w:anchor="RISKFACTORS">
              <w:r>
                <w:rPr>
                  <w:rStyle w:val="InternetLink"/>
                </w:rPr>
                <w:t>RISK FACTORS</w:t>
              </w:r>
            </w:hyperlink>
          </w:p>
        </w:tc>
        <w:tc>
          <w:tcPr>
            <w:tcW w:w="530" w:type="dxa"/>
            <w:tcBorders/>
            <w:shd w:fill="CCEEFF" w:val="clear"/>
            <w:vAlign w:val="center"/>
          </w:tcPr>
          <w:p>
            <w:pPr>
              <w:pStyle w:val="TableContents"/>
              <w:bidi w:val="0"/>
              <w:spacing w:before="0" w:after="283"/>
              <w:jc w:val="center"/>
              <w:rPr/>
            </w:pPr>
            <w:r>
              <w:rPr/>
              <w:t>7</w:t>
            </w:r>
          </w:p>
        </w:tc>
      </w:tr>
      <w:tr>
        <w:trPr/>
        <w:tc>
          <w:tcPr>
            <w:tcW w:w="9675" w:type="dxa"/>
            <w:tcBorders/>
            <w:shd w:fill="FFFFFF" w:val="clear"/>
            <w:vAlign w:val="center"/>
          </w:tcPr>
          <w:p>
            <w:pPr>
              <w:pStyle w:val="TableContents"/>
              <w:bidi w:val="0"/>
              <w:spacing w:before="0" w:after="283"/>
              <w:jc w:val="left"/>
              <w:rPr/>
            </w:pPr>
            <w:hyperlink w:anchor="USEOFPROCEEDS">
              <w:r>
                <w:rPr>
                  <w:rStyle w:val="InternetLink"/>
                </w:rPr>
                <w:t>USE OF PROCEEDS</w:t>
              </w:r>
            </w:hyperlink>
          </w:p>
        </w:tc>
        <w:tc>
          <w:tcPr>
            <w:tcW w:w="530" w:type="dxa"/>
            <w:tcBorders/>
            <w:shd w:fill="FFFFFF" w:val="clear"/>
            <w:vAlign w:val="center"/>
          </w:tcPr>
          <w:p>
            <w:pPr>
              <w:pStyle w:val="TableContents"/>
              <w:bidi w:val="0"/>
              <w:spacing w:before="0" w:after="283"/>
              <w:jc w:val="center"/>
              <w:rPr/>
            </w:pPr>
            <w:r>
              <w:rPr/>
              <w:t>7</w:t>
            </w:r>
          </w:p>
        </w:tc>
      </w:tr>
      <w:tr>
        <w:trPr/>
        <w:tc>
          <w:tcPr>
            <w:tcW w:w="9675" w:type="dxa"/>
            <w:tcBorders/>
            <w:shd w:fill="CCEEFF" w:val="clear"/>
            <w:vAlign w:val="center"/>
          </w:tcPr>
          <w:p>
            <w:pPr>
              <w:pStyle w:val="TableContents"/>
              <w:bidi w:val="0"/>
              <w:spacing w:before="0" w:after="283"/>
              <w:jc w:val="left"/>
              <w:rPr/>
            </w:pPr>
            <w:hyperlink w:anchor="DIVIDENDPOLICY">
              <w:r>
                <w:rPr>
                  <w:rStyle w:val="InternetLink"/>
                </w:rPr>
                <w:t>DIVIDEND POLICY</w:t>
              </w:r>
            </w:hyperlink>
          </w:p>
        </w:tc>
        <w:tc>
          <w:tcPr>
            <w:tcW w:w="530" w:type="dxa"/>
            <w:tcBorders/>
            <w:shd w:fill="CCEEFF" w:val="clear"/>
            <w:vAlign w:val="center"/>
          </w:tcPr>
          <w:p>
            <w:pPr>
              <w:pStyle w:val="TableContents"/>
              <w:bidi w:val="0"/>
              <w:spacing w:before="0" w:after="283"/>
              <w:jc w:val="center"/>
              <w:rPr/>
            </w:pPr>
            <w:r>
              <w:rPr/>
              <w:t>7</w:t>
            </w:r>
          </w:p>
        </w:tc>
      </w:tr>
      <w:tr>
        <w:trPr/>
        <w:tc>
          <w:tcPr>
            <w:tcW w:w="9675" w:type="dxa"/>
            <w:tcBorders/>
            <w:shd w:fill="FFFFFF" w:val="clear"/>
            <w:vAlign w:val="center"/>
          </w:tcPr>
          <w:p>
            <w:pPr>
              <w:pStyle w:val="TableContents"/>
              <w:bidi w:val="0"/>
              <w:spacing w:before="0" w:after="283"/>
              <w:jc w:val="left"/>
              <w:rPr/>
            </w:pPr>
            <w:hyperlink w:anchor="CAPITALIZATION">
              <w:r>
                <w:rPr>
                  <w:rStyle w:val="InternetLink"/>
                </w:rPr>
                <w:t>CAPITALIZATION</w:t>
              </w:r>
            </w:hyperlink>
          </w:p>
        </w:tc>
        <w:tc>
          <w:tcPr>
            <w:tcW w:w="530" w:type="dxa"/>
            <w:tcBorders/>
            <w:shd w:fill="FFFFFF" w:val="clear"/>
            <w:vAlign w:val="center"/>
          </w:tcPr>
          <w:p>
            <w:pPr>
              <w:pStyle w:val="TableContents"/>
              <w:bidi w:val="0"/>
              <w:spacing w:before="0" w:after="283"/>
              <w:jc w:val="center"/>
              <w:rPr/>
            </w:pPr>
            <w:r>
              <w:rPr/>
              <w:t>7</w:t>
            </w:r>
          </w:p>
        </w:tc>
      </w:tr>
      <w:tr>
        <w:trPr/>
        <w:tc>
          <w:tcPr>
            <w:tcW w:w="9675" w:type="dxa"/>
            <w:tcBorders/>
            <w:shd w:fill="CCEEFF" w:val="clear"/>
            <w:vAlign w:val="center"/>
          </w:tcPr>
          <w:p>
            <w:pPr>
              <w:pStyle w:val="TableContents"/>
              <w:bidi w:val="0"/>
              <w:spacing w:before="0" w:after="283"/>
              <w:jc w:val="left"/>
              <w:rPr/>
            </w:pPr>
            <w:hyperlink w:anchor="OFFERSTATISTICSANDEXPECTEDTIMETABLE">
              <w:r>
                <w:rPr>
                  <w:rStyle w:val="InternetLink"/>
                </w:rPr>
                <w:t>OFFER STATISTICS AND EXPECTED TIMETABLE</w:t>
              </w:r>
            </w:hyperlink>
          </w:p>
        </w:tc>
        <w:tc>
          <w:tcPr>
            <w:tcW w:w="530" w:type="dxa"/>
            <w:tcBorders/>
            <w:shd w:fill="CCEEFF" w:val="clear"/>
            <w:vAlign w:val="center"/>
          </w:tcPr>
          <w:p>
            <w:pPr>
              <w:pStyle w:val="TableContents"/>
              <w:bidi w:val="0"/>
              <w:spacing w:before="0" w:after="283"/>
              <w:jc w:val="center"/>
              <w:rPr/>
            </w:pPr>
            <w:r>
              <w:rPr/>
              <w:t>7</w:t>
            </w:r>
          </w:p>
        </w:tc>
      </w:tr>
      <w:tr>
        <w:trPr/>
        <w:tc>
          <w:tcPr>
            <w:tcW w:w="9675" w:type="dxa"/>
            <w:tcBorders/>
            <w:shd w:fill="FFFFFF" w:val="clear"/>
            <w:vAlign w:val="center"/>
          </w:tcPr>
          <w:p>
            <w:pPr>
              <w:pStyle w:val="TableContents"/>
              <w:bidi w:val="0"/>
              <w:spacing w:before="0" w:after="283"/>
              <w:jc w:val="left"/>
              <w:rPr/>
            </w:pPr>
            <w:hyperlink w:anchor="THEOFFERANDLISTING">
              <w:r>
                <w:rPr>
                  <w:rStyle w:val="InternetLink"/>
                </w:rPr>
                <w:t>THE OFFER AND LISTING</w:t>
              </w:r>
            </w:hyperlink>
          </w:p>
        </w:tc>
        <w:tc>
          <w:tcPr>
            <w:tcW w:w="530" w:type="dxa"/>
            <w:tcBorders/>
            <w:shd w:fill="FFFFFF" w:val="clear"/>
            <w:vAlign w:val="center"/>
          </w:tcPr>
          <w:p>
            <w:pPr>
              <w:pStyle w:val="TableContents"/>
              <w:bidi w:val="0"/>
              <w:spacing w:before="0" w:after="283"/>
              <w:jc w:val="center"/>
              <w:rPr/>
            </w:pPr>
            <w:r>
              <w:rPr/>
              <w:t>7</w:t>
            </w:r>
          </w:p>
        </w:tc>
      </w:tr>
      <w:tr>
        <w:trPr/>
        <w:tc>
          <w:tcPr>
            <w:tcW w:w="9675" w:type="dxa"/>
            <w:tcBorders/>
            <w:shd w:fill="CCEEFF" w:val="clear"/>
            <w:vAlign w:val="center"/>
          </w:tcPr>
          <w:p>
            <w:pPr>
              <w:pStyle w:val="TableContents"/>
              <w:bidi w:val="0"/>
              <w:spacing w:before="0" w:after="283"/>
              <w:jc w:val="left"/>
              <w:rPr/>
            </w:pPr>
            <w:hyperlink w:anchor="DESCRIPTIONOFORDINARYSHARES">
              <w:r>
                <w:rPr>
                  <w:rStyle w:val="InternetLink"/>
                </w:rPr>
                <w:t>DESCRIPTION OF ORDINARY SHARES, IPO WARRANTS, AND ARTICLES OF ASSOCIATION</w:t>
              </w:r>
            </w:hyperlink>
          </w:p>
        </w:tc>
        <w:tc>
          <w:tcPr>
            <w:tcW w:w="530" w:type="dxa"/>
            <w:tcBorders/>
            <w:shd w:fill="CCEEFF" w:val="clear"/>
            <w:vAlign w:val="center"/>
          </w:tcPr>
          <w:p>
            <w:pPr>
              <w:pStyle w:val="TableContents"/>
              <w:bidi w:val="0"/>
              <w:spacing w:before="0" w:after="283"/>
              <w:jc w:val="center"/>
              <w:rPr/>
            </w:pPr>
            <w:r>
              <w:rPr/>
              <w:t>8</w:t>
            </w:r>
          </w:p>
        </w:tc>
      </w:tr>
      <w:tr>
        <w:trPr/>
        <w:tc>
          <w:tcPr>
            <w:tcW w:w="9675" w:type="dxa"/>
            <w:tcBorders/>
            <w:shd w:fill="FFFFFF" w:val="clear"/>
            <w:vAlign w:val="center"/>
          </w:tcPr>
          <w:p>
            <w:pPr>
              <w:pStyle w:val="TableContents"/>
              <w:bidi w:val="0"/>
              <w:spacing w:before="0" w:after="283"/>
              <w:jc w:val="left"/>
              <w:rPr/>
            </w:pPr>
            <w:hyperlink w:anchor="DESCRIPTIONOFWARRANTS">
              <w:r>
                <w:rPr>
                  <w:rStyle w:val="InternetLink"/>
                </w:rPr>
                <w:t>DESCRIPTION OF WARRANTS</w:t>
              </w:r>
            </w:hyperlink>
          </w:p>
        </w:tc>
        <w:tc>
          <w:tcPr>
            <w:tcW w:w="530" w:type="dxa"/>
            <w:tcBorders/>
            <w:shd w:fill="FFFFFF" w:val="clear"/>
            <w:vAlign w:val="center"/>
          </w:tcPr>
          <w:p>
            <w:pPr>
              <w:pStyle w:val="TableContents"/>
              <w:bidi w:val="0"/>
              <w:spacing w:before="0" w:after="283"/>
              <w:jc w:val="center"/>
              <w:rPr/>
            </w:pPr>
            <w:r>
              <w:rPr/>
              <w:t>17</w:t>
            </w:r>
          </w:p>
        </w:tc>
      </w:tr>
      <w:tr>
        <w:trPr/>
        <w:tc>
          <w:tcPr>
            <w:tcW w:w="9675" w:type="dxa"/>
            <w:tcBorders/>
            <w:shd w:fill="CCEEFF" w:val="clear"/>
            <w:vAlign w:val="center"/>
          </w:tcPr>
          <w:p>
            <w:pPr>
              <w:pStyle w:val="TableContents"/>
              <w:bidi w:val="0"/>
              <w:spacing w:before="0" w:after="283"/>
              <w:jc w:val="left"/>
              <w:rPr/>
            </w:pPr>
            <w:hyperlink w:anchor="DESCRIPTIONOFDEBTSECURITIES">
              <w:r>
                <w:rPr>
                  <w:rStyle w:val="InternetLink"/>
                </w:rPr>
                <w:t>DESCRIPTION OF DEBT SECURITIES</w:t>
              </w:r>
            </w:hyperlink>
          </w:p>
        </w:tc>
        <w:tc>
          <w:tcPr>
            <w:tcW w:w="530" w:type="dxa"/>
            <w:tcBorders/>
            <w:shd w:fill="CCEEFF" w:val="clear"/>
            <w:vAlign w:val="center"/>
          </w:tcPr>
          <w:p>
            <w:pPr>
              <w:pStyle w:val="TableContents"/>
              <w:bidi w:val="0"/>
              <w:spacing w:before="0" w:after="283"/>
              <w:jc w:val="center"/>
              <w:rPr/>
            </w:pPr>
            <w:r>
              <w:rPr/>
              <w:t>19</w:t>
            </w:r>
          </w:p>
        </w:tc>
      </w:tr>
      <w:tr>
        <w:trPr/>
        <w:tc>
          <w:tcPr>
            <w:tcW w:w="9675" w:type="dxa"/>
            <w:tcBorders/>
            <w:shd w:fill="FFFFFF" w:val="clear"/>
            <w:vAlign w:val="center"/>
          </w:tcPr>
          <w:p>
            <w:pPr>
              <w:pStyle w:val="TableContents"/>
              <w:bidi w:val="0"/>
              <w:spacing w:before="0" w:after="283"/>
              <w:jc w:val="left"/>
              <w:rPr/>
            </w:pPr>
            <w:hyperlink w:anchor="DESCRIPTIONOFRIGHTS">
              <w:r>
                <w:rPr>
                  <w:rStyle w:val="InternetLink"/>
                </w:rPr>
                <w:t>DESCRIPTION OF RIGHTS</w:t>
              </w:r>
            </w:hyperlink>
          </w:p>
        </w:tc>
        <w:tc>
          <w:tcPr>
            <w:tcW w:w="530" w:type="dxa"/>
            <w:tcBorders/>
            <w:shd w:fill="FFFFFF" w:val="clear"/>
            <w:vAlign w:val="center"/>
          </w:tcPr>
          <w:p>
            <w:pPr>
              <w:pStyle w:val="TableContents"/>
              <w:bidi w:val="0"/>
              <w:spacing w:before="0" w:after="283"/>
              <w:jc w:val="center"/>
              <w:rPr/>
            </w:pPr>
            <w:r>
              <w:rPr/>
              <w:t>21</w:t>
            </w:r>
          </w:p>
        </w:tc>
      </w:tr>
      <w:tr>
        <w:trPr/>
        <w:tc>
          <w:tcPr>
            <w:tcW w:w="9675" w:type="dxa"/>
            <w:tcBorders/>
            <w:shd w:fill="CCEEFF" w:val="clear"/>
            <w:vAlign w:val="center"/>
          </w:tcPr>
          <w:p>
            <w:pPr>
              <w:pStyle w:val="TableContents"/>
              <w:bidi w:val="0"/>
              <w:spacing w:before="0" w:after="283"/>
              <w:jc w:val="left"/>
              <w:rPr/>
            </w:pPr>
            <w:hyperlink w:anchor="DESCRIPTIONOFUNITS">
              <w:r>
                <w:rPr>
                  <w:rStyle w:val="InternetLink"/>
                </w:rPr>
                <w:t>DESCRIPTION OF UNITS</w:t>
              </w:r>
            </w:hyperlink>
          </w:p>
        </w:tc>
        <w:tc>
          <w:tcPr>
            <w:tcW w:w="530" w:type="dxa"/>
            <w:tcBorders/>
            <w:shd w:fill="CCEEFF" w:val="clear"/>
            <w:vAlign w:val="center"/>
          </w:tcPr>
          <w:p>
            <w:pPr>
              <w:pStyle w:val="TableContents"/>
              <w:bidi w:val="0"/>
              <w:spacing w:before="0" w:after="283"/>
              <w:jc w:val="center"/>
              <w:rPr/>
            </w:pPr>
            <w:r>
              <w:rPr/>
              <w:t>22</w:t>
            </w:r>
          </w:p>
        </w:tc>
      </w:tr>
      <w:tr>
        <w:trPr/>
        <w:tc>
          <w:tcPr>
            <w:tcW w:w="9675" w:type="dxa"/>
            <w:tcBorders/>
            <w:shd w:fill="FFFFFF" w:val="clear"/>
            <w:vAlign w:val="center"/>
          </w:tcPr>
          <w:p>
            <w:pPr>
              <w:pStyle w:val="TableContents"/>
              <w:bidi w:val="0"/>
              <w:spacing w:before="0" w:after="283"/>
              <w:jc w:val="left"/>
              <w:rPr/>
            </w:pPr>
            <w:hyperlink w:anchor="MATERIALTAXCONSIDERATIONS">
              <w:r>
                <w:rPr>
                  <w:rStyle w:val="InternetLink"/>
                </w:rPr>
                <w:t>MATERIAL TAX CONSIDERATIONS</w:t>
              </w:r>
            </w:hyperlink>
          </w:p>
        </w:tc>
        <w:tc>
          <w:tcPr>
            <w:tcW w:w="530" w:type="dxa"/>
            <w:tcBorders/>
            <w:shd w:fill="FFFFFF" w:val="clear"/>
            <w:vAlign w:val="center"/>
          </w:tcPr>
          <w:p>
            <w:pPr>
              <w:pStyle w:val="TableContents"/>
              <w:bidi w:val="0"/>
              <w:spacing w:before="0" w:after="283"/>
              <w:jc w:val="center"/>
              <w:rPr/>
            </w:pPr>
            <w:r>
              <w:rPr/>
              <w:t>23</w:t>
            </w:r>
          </w:p>
        </w:tc>
      </w:tr>
      <w:tr>
        <w:trPr/>
        <w:tc>
          <w:tcPr>
            <w:tcW w:w="9675" w:type="dxa"/>
            <w:tcBorders/>
            <w:shd w:fill="CCEEFF" w:val="clear"/>
            <w:vAlign w:val="center"/>
          </w:tcPr>
          <w:p>
            <w:pPr>
              <w:pStyle w:val="TableContents"/>
              <w:bidi w:val="0"/>
              <w:spacing w:before="0" w:after="283"/>
              <w:jc w:val="left"/>
              <w:rPr/>
            </w:pPr>
            <w:hyperlink w:anchor="PLANOFDISTRIBUTION">
              <w:r>
                <w:rPr>
                  <w:rStyle w:val="InternetLink"/>
                </w:rPr>
                <w:t>PLAN OF DISTRIBUTION</w:t>
              </w:r>
            </w:hyperlink>
          </w:p>
        </w:tc>
        <w:tc>
          <w:tcPr>
            <w:tcW w:w="530" w:type="dxa"/>
            <w:tcBorders/>
            <w:shd w:fill="CCEEFF" w:val="clear"/>
            <w:vAlign w:val="center"/>
          </w:tcPr>
          <w:p>
            <w:pPr>
              <w:pStyle w:val="TableContents"/>
              <w:bidi w:val="0"/>
              <w:spacing w:before="0" w:after="283"/>
              <w:jc w:val="center"/>
              <w:rPr/>
            </w:pPr>
            <w:r>
              <w:rPr/>
              <w:t>24</w:t>
            </w:r>
          </w:p>
        </w:tc>
      </w:tr>
      <w:tr>
        <w:trPr/>
        <w:tc>
          <w:tcPr>
            <w:tcW w:w="9675" w:type="dxa"/>
            <w:tcBorders/>
            <w:shd w:fill="FFFFFF" w:val="clear"/>
            <w:vAlign w:val="center"/>
          </w:tcPr>
          <w:p>
            <w:pPr>
              <w:pStyle w:val="TableContents"/>
              <w:bidi w:val="0"/>
              <w:spacing w:before="0" w:after="283"/>
              <w:jc w:val="left"/>
              <w:rPr/>
            </w:pPr>
            <w:hyperlink w:anchor="LEGALMATTERS">
              <w:r>
                <w:rPr>
                  <w:rStyle w:val="InternetLink"/>
                </w:rPr>
                <w:t>LEGAL MATTERS</w:t>
              </w:r>
            </w:hyperlink>
          </w:p>
        </w:tc>
        <w:tc>
          <w:tcPr>
            <w:tcW w:w="530" w:type="dxa"/>
            <w:tcBorders/>
            <w:shd w:fill="FFFFFF" w:val="clear"/>
            <w:vAlign w:val="center"/>
          </w:tcPr>
          <w:p>
            <w:pPr>
              <w:pStyle w:val="TableContents"/>
              <w:bidi w:val="0"/>
              <w:spacing w:before="0" w:after="283"/>
              <w:jc w:val="center"/>
              <w:rPr/>
            </w:pPr>
            <w:r>
              <w:rPr/>
              <w:t>26</w:t>
            </w:r>
          </w:p>
        </w:tc>
      </w:tr>
      <w:tr>
        <w:trPr/>
        <w:tc>
          <w:tcPr>
            <w:tcW w:w="9675" w:type="dxa"/>
            <w:tcBorders/>
            <w:shd w:fill="CCEEFF" w:val="clear"/>
            <w:vAlign w:val="center"/>
          </w:tcPr>
          <w:p>
            <w:pPr>
              <w:pStyle w:val="TableContents"/>
              <w:bidi w:val="0"/>
              <w:spacing w:before="0" w:after="283"/>
              <w:jc w:val="left"/>
              <w:rPr/>
            </w:pPr>
            <w:hyperlink w:anchor="EXPERTS">
              <w:r>
                <w:rPr>
                  <w:rStyle w:val="InternetLink"/>
                </w:rPr>
                <w:t>EXPERTS</w:t>
              </w:r>
            </w:hyperlink>
          </w:p>
        </w:tc>
        <w:tc>
          <w:tcPr>
            <w:tcW w:w="530" w:type="dxa"/>
            <w:tcBorders/>
            <w:shd w:fill="CCEEFF" w:val="clear"/>
            <w:vAlign w:val="center"/>
          </w:tcPr>
          <w:p>
            <w:pPr>
              <w:pStyle w:val="TableContents"/>
              <w:bidi w:val="0"/>
              <w:spacing w:before="0" w:after="283"/>
              <w:jc w:val="center"/>
              <w:rPr/>
            </w:pPr>
            <w:r>
              <w:rPr/>
              <w:t>26</w:t>
            </w:r>
          </w:p>
        </w:tc>
      </w:tr>
      <w:tr>
        <w:trPr/>
        <w:tc>
          <w:tcPr>
            <w:tcW w:w="9675" w:type="dxa"/>
            <w:tcBorders/>
            <w:shd w:fill="FFFFFF" w:val="clear"/>
            <w:vAlign w:val="center"/>
          </w:tcPr>
          <w:p>
            <w:pPr>
              <w:pStyle w:val="TableContents"/>
              <w:bidi w:val="0"/>
              <w:spacing w:before="0" w:after="283"/>
              <w:jc w:val="left"/>
              <w:rPr/>
            </w:pPr>
            <w:hyperlink w:anchor="EXPENSESOFTHEISSUANCEANDDISTRIBUTION">
              <w:r>
                <w:rPr>
                  <w:rStyle w:val="InternetLink"/>
                </w:rPr>
                <w:t>EXPENSES OF THE ISSUANCE AND DISTRIBUTION</w:t>
              </w:r>
            </w:hyperlink>
          </w:p>
        </w:tc>
        <w:tc>
          <w:tcPr>
            <w:tcW w:w="530" w:type="dxa"/>
            <w:tcBorders/>
            <w:shd w:fill="FFFFFF" w:val="clear"/>
            <w:vAlign w:val="center"/>
          </w:tcPr>
          <w:p>
            <w:pPr>
              <w:pStyle w:val="TableContents"/>
              <w:bidi w:val="0"/>
              <w:spacing w:before="0" w:after="283"/>
              <w:jc w:val="center"/>
              <w:rPr/>
            </w:pPr>
            <w:r>
              <w:rPr/>
              <w:t>27</w:t>
            </w:r>
          </w:p>
        </w:tc>
      </w:tr>
      <w:tr>
        <w:trPr/>
        <w:tc>
          <w:tcPr>
            <w:tcW w:w="9675" w:type="dxa"/>
            <w:tcBorders/>
            <w:shd w:fill="CCEEFF" w:val="clear"/>
            <w:vAlign w:val="center"/>
          </w:tcPr>
          <w:p>
            <w:pPr>
              <w:pStyle w:val="TableContents"/>
              <w:bidi w:val="0"/>
              <w:spacing w:before="0" w:after="283"/>
              <w:jc w:val="left"/>
              <w:rPr/>
            </w:pPr>
            <w:hyperlink w:anchor="ENFORCEABILITYOFCIVILLIABILITY">
              <w:r>
                <w:rPr>
                  <w:rStyle w:val="InternetLink"/>
                </w:rPr>
                <w:t>ENFORCEABILITY OF CIVIL LIABILITY</w:t>
              </w:r>
            </w:hyperlink>
          </w:p>
        </w:tc>
        <w:tc>
          <w:tcPr>
            <w:tcW w:w="530" w:type="dxa"/>
            <w:tcBorders/>
            <w:shd w:fill="CCEEFF" w:val="clear"/>
            <w:vAlign w:val="center"/>
          </w:tcPr>
          <w:p>
            <w:pPr>
              <w:pStyle w:val="TableContents"/>
              <w:bidi w:val="0"/>
              <w:spacing w:before="0" w:after="283"/>
              <w:jc w:val="center"/>
              <w:rPr/>
            </w:pPr>
            <w:r>
              <w:rPr/>
              <w:t>28</w:t>
            </w:r>
          </w:p>
        </w:tc>
      </w:tr>
      <w:tr>
        <w:trPr/>
        <w:tc>
          <w:tcPr>
            <w:tcW w:w="9675" w:type="dxa"/>
            <w:tcBorders/>
            <w:shd w:fill="FFFFFF" w:val="clear"/>
            <w:vAlign w:val="center"/>
          </w:tcPr>
          <w:p>
            <w:pPr>
              <w:pStyle w:val="TableContents"/>
              <w:bidi w:val="0"/>
              <w:spacing w:before="0" w:after="283"/>
              <w:jc w:val="left"/>
              <w:rPr/>
            </w:pPr>
            <w:hyperlink w:anchor="WHEREYOUCANFINDMOREINFORMATION">
              <w:r>
                <w:rPr>
                  <w:rStyle w:val="InternetLink"/>
                </w:rPr>
                <w:t>WHERE YOU CAN FIND MORE INFORMATION</w:t>
              </w:r>
            </w:hyperlink>
          </w:p>
        </w:tc>
        <w:tc>
          <w:tcPr>
            <w:tcW w:w="530" w:type="dxa"/>
            <w:tcBorders/>
            <w:shd w:fill="FFFFFF" w:val="clear"/>
            <w:vAlign w:val="center"/>
          </w:tcPr>
          <w:p>
            <w:pPr>
              <w:pStyle w:val="TableContents"/>
              <w:bidi w:val="0"/>
              <w:spacing w:before="0" w:after="283"/>
              <w:jc w:val="center"/>
              <w:rPr/>
            </w:pPr>
            <w:r>
              <w:rPr/>
              <w:t>29</w:t>
            </w:r>
          </w:p>
        </w:tc>
      </w:tr>
      <w:tr>
        <w:trPr/>
        <w:tc>
          <w:tcPr>
            <w:tcW w:w="9675" w:type="dxa"/>
            <w:tcBorders/>
            <w:shd w:fill="CCEEFF" w:val="clear"/>
            <w:vAlign w:val="center"/>
          </w:tcPr>
          <w:p>
            <w:pPr>
              <w:pStyle w:val="TableContents"/>
              <w:bidi w:val="0"/>
              <w:spacing w:before="0" w:after="283"/>
              <w:jc w:val="left"/>
              <w:rPr/>
            </w:pPr>
            <w:hyperlink w:anchor="INCORPORATIONOFCERTAININFORMATIONBYREFERENCE">
              <w:r>
                <w:rPr>
                  <w:rStyle w:val="InternetLink"/>
                </w:rPr>
                <w:t>INCORPORATION OF CERTAIN INFORMATION BY REFERENCE</w:t>
              </w:r>
            </w:hyperlink>
          </w:p>
        </w:tc>
        <w:tc>
          <w:tcPr>
            <w:tcW w:w="530" w:type="dxa"/>
            <w:tcBorders/>
            <w:shd w:fill="CCEEFF" w:val="clear"/>
            <w:vAlign w:val="center"/>
          </w:tcPr>
          <w:p>
            <w:pPr>
              <w:pStyle w:val="TableContents"/>
              <w:bidi w:val="0"/>
              <w:spacing w:before="0" w:after="283"/>
              <w:jc w:val="center"/>
              <w:rPr/>
            </w:pPr>
            <w:r>
              <w:rPr/>
              <w:t>30</w:t>
            </w:r>
          </w:p>
        </w:tc>
      </w:tr>
      <w:tr>
        <w:trPr/>
        <w:tc>
          <w:tcPr>
            <w:tcW w:w="9675" w:type="dxa"/>
            <w:tcBorders/>
            <w:shd w:fill="FFFFFF" w:val="clear"/>
            <w:vAlign w:val="center"/>
          </w:tcPr>
          <w:p>
            <w:pPr>
              <w:pStyle w:val="TableContents"/>
              <w:bidi w:val="0"/>
              <w:spacing w:before="0" w:after="283"/>
              <w:jc w:val="left"/>
              <w:rPr/>
            </w:pPr>
            <w:hyperlink w:anchor="PARTII">
              <w:r>
                <w:rPr>
                  <w:rStyle w:val="InternetLink"/>
                </w:rPr>
                <w:t>PART II INFORMATION NOT REQUIRED IN PROSPECTUS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II-1</w:t>
            </w:r>
          </w:p>
        </w:tc>
      </w:tr>
      <w:tr>
        <w:trPr/>
        <w:tc>
          <w:tcPr>
            <w:tcW w:w="9675" w:type="dxa"/>
            <w:tcBorders/>
            <w:shd w:fill="CCEEFF" w:val="clear"/>
            <w:vAlign w:val="center"/>
          </w:tcPr>
          <w:p>
            <w:pPr>
              <w:pStyle w:val="TableContents"/>
              <w:bidi w:val="0"/>
              <w:spacing w:before="0" w:after="283"/>
              <w:jc w:val="left"/>
              <w:rPr/>
            </w:pPr>
            <w:hyperlink w:anchor="SIGNATURES">
              <w:r>
                <w:rPr>
                  <w:rStyle w:val="InternetLink"/>
                </w:rPr>
                <w:t>SIGNATURES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II-5</w:t>
            </w:r>
          </w:p>
        </w:tc>
      </w:tr>
      <w:tr>
        <w:trPr/>
        <w:tc>
          <w:tcPr>
            <w:tcW w:w="9675" w:type="dxa"/>
            <w:tcBorders/>
            <w:shd w:fill="FFFFFF" w:val="clear"/>
            <w:vAlign w:val="center"/>
          </w:tcPr>
          <w:p>
            <w:pPr>
              <w:pStyle w:val="TableContents"/>
              <w:bidi w:val="0"/>
              <w:spacing w:before="0" w:after="283"/>
              <w:jc w:val="left"/>
              <w:rPr/>
            </w:pPr>
            <w:hyperlink w:anchor="SIGNATUREOFAUTHORIZEDREPRESENTATIVEINTHEUNITEDSTATES">
              <w:r>
                <w:rPr>
                  <w:rStyle w:val="InternetLink"/>
                </w:rPr>
                <w:t>SIGNATURE OF AUTHORIZED REPRESENTATIVE IN THE UNITED STATES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You should rely only on the information contained or incorporated by reference in this prospectus or any supplement. We have not authorized anyone else to provide you with different information. The securities offered by this prospectus are being offered only in jurisdictions where the offer is permitted. You should not assume that the information in this prospectus or any supplement is accurate as of any date other than the date on the front of each document. Our business, financial condition, results of operations and prospects may have changed since that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document incorporated by reference filed with the Securities and Exchange Commission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BOUTTHISPROSPECTUS"/>
      <w:bookmarkEnd w:id="2"/>
      <w:r>
        <w:rPr>
          <w:rFonts w:ascii="Times New Roman;Times;Serif" w:hAnsi="Times New Roman;Times;Serif"/>
          <w:b/>
          <w:i w:val="false"/>
          <w:caps/>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using the “shelf” registration process. Under this shelf registration process, we may, from time to time, in one or more offerings, sell up to $300,000,000 of any combination of the securities described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only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The prospectus supplement may also add to, update or change information contained in this prospectus.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Accordingly, to the extent inconsistent, information in this prospectus is superseded by the information in any prospectus supplement or any related free writing prospectus that we may authorize. You should carefully read this prospectus, any applicable prospectus supplement and any related free writing prospectus, together with the information incorporated herein by reference as described under the heading “Information Incorporated by Reference,” before investing in any of the securities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agent, underwriter or dealer has authorized anyone to provide you with different or additional information, other than that contained in this prospectus or in any free writing prospectus prepared by or on behalf of us or to which we may have referred you, and neither we nor they take any responsibility for, or provide any assurance as to the reliability of, any other information that others may give you. Neither we, nor any agent, underwriter or dealer are making an offer to sell Class A Ordinary Shares in any jurisdiction where the offer or sale thereof is not permitted. You should not assume that the information contained in this prospectus is accurate as of any date other than the date on the front cover of this prospectus, regardless of the time of delivery of this prospectus or any sale of our Class A Ordinary Shares. Our business, financial condition, results of operations and prospects may have changed materially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We have not taken any action to permit the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Class A Ordinary Shares and the distribution of this prospectus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and a majority of our outstanding securities are owned by non-U.S. residents. Under the rules of the SEC, we are currently eligible for treatment as a “foreign private issuer.” As a foreign private issuer, we are not required to file periodic reports and financial statements with the SEC as frequently or as promptly as domestic registrants whose securities are registered under the Securities Exchange Act of 1934, as amended, or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all references in this prospectus to the terms “SAI,” the “Company,” “we,” “us,” “our Company”, and “our” refer to SAIHEAT Limited, an exempted company with limited liability incorporated under the laws of Cayman Islands, together as a group with its subsidiaries. All references in this prospectus to “TradeUP” refer to TradeUP Global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CAUTIONARYSTATEMENTREGARDINGFORWARD-LOOK"/>
      <w:bookmarkEnd w:id="3"/>
      <w:r>
        <w:rPr>
          <w:rFonts w:ascii="Times New Roman;Times;Serif" w:hAnsi="Times New Roman;Times;Serif"/>
          <w:b/>
          <w:i w:val="false"/>
          <w:caps/>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that involve substantial risks and uncertainties. All statements other than statements of historical facts contained in this prospectus, documents incorporated by reference herein and any appliable prospectus supplement, including statements regarding SAI’s future financial position, business strategy and plans and objectives of management for future operations, are forward- looking statements. In some cases, you can identify forward-looking statements by terminology such as “may,” “will,” “should,” “expects,” “plans,” “anticipates,” “could,” “intends,” “targets,” “projects,” “contemplates,” “believes,” “estimates,” “predicts,” “potential” or “continue” or the negative of these terms or other similar expressions. Forward-looking statements include, without limitation, SAI’s expectations concerning the outlook for its business, productivity, plans and goals for future operational improvements and capital investments, operational performance, future market conditions or economic performance and developments in the capital and credit markets and expected future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70"/>
        <w:gridCol w:w="2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goals and strategies;</w:t>
            </w:r>
          </w:p>
        </w:tc>
      </w:tr>
    </w:tbl>
    <w:p>
      <w:pPr>
        <w:pStyle w:val="TextBody"/>
        <w:bidi w:val="0"/>
        <w:spacing w:before="0" w:after="0"/>
        <w:ind w:left="960" w:right="0" w:hanging="48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70"/>
        <w:gridCol w:w="3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financial performance;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maintain the listing of the Company’s Class A Ordinary Shares and IPO Warrants on the Nasdaq Capital Market;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future business development, financial position, estimated revenues and losses, projected capex, prospects and plans;</w:t>
            </w:r>
          </w:p>
        </w:tc>
      </w:tr>
    </w:tbl>
    <w:p>
      <w:pPr>
        <w:pStyle w:val="TextBody"/>
        <w:bidi w:val="0"/>
        <w:spacing w:before="0" w:after="0"/>
        <w:ind w:left="960" w:right="0" w:hanging="48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strategic advantages and the impact those advantages will have on future financial and operational results;</w:t>
            </w:r>
          </w:p>
        </w:tc>
      </w:tr>
    </w:tbl>
    <w:p>
      <w:pPr>
        <w:pStyle w:val="TextBody"/>
        <w:bidi w:val="0"/>
        <w:spacing w:before="0" w:after="0"/>
        <w:ind w:left="960" w:right="0" w:hanging="48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3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changes in our revenue, costs or expenditures;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anticipated cash needs and its needs for additional financing;</w:t>
            </w:r>
          </w:p>
        </w:tc>
      </w:tr>
    </w:tbl>
    <w:p>
      <w:pPr>
        <w:pStyle w:val="TextBody"/>
        <w:bidi w:val="0"/>
        <w:spacing w:before="0" w:after="0"/>
        <w:ind w:left="0"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1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successfully integrate acquisitions;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approach and goals with respect to technology;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expectations regarding its ability to obtain and maintain intellectual property protection and not infringe on the rights of others;</w:t>
            </w:r>
          </w:p>
        </w:tc>
      </w:tr>
    </w:tbl>
    <w:p>
      <w:pPr>
        <w:pStyle w:val="TextBody"/>
        <w:bidi w:val="0"/>
        <w:spacing w:before="0" w:after="0"/>
        <w:ind w:left="960" w:right="0" w:hanging="48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170"/>
        <w:gridCol w:w="3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applicable laws or regulations;</w:t>
            </w:r>
          </w:p>
        </w:tc>
      </w:tr>
    </w:tbl>
    <w:p>
      <w:pPr>
        <w:pStyle w:val="TextBody"/>
        <w:bidi w:val="0"/>
        <w:spacing w:before="0" w:after="0"/>
        <w:ind w:left="960" w:right="0" w:hanging="480"/>
        <w:jc w:val="both"/>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8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government policies and regulations relating to our business and industry; </w:t>
            </w:r>
          </w:p>
        </w:tc>
      </w:tr>
    </w:tbl>
    <w:p>
      <w:pPr>
        <w:pStyle w:val="TextBody"/>
        <w:bidi w:val="0"/>
        <w:spacing w:before="0" w:after="283"/>
        <w:jc w:val="left"/>
        <w:rPr/>
      </w:pPr>
      <w:r>
        <w:rPr/>
        <w:t> </w:t>
      </w:r>
    </w:p>
    <w:tbl>
      <w:tblPr>
        <w:tblW w:w="6730" w:type="dxa"/>
        <w:jc w:val="left"/>
        <w:tblInd w:w="0" w:type="dxa"/>
        <w:tblLayout w:type="fixed"/>
        <w:tblCellMar>
          <w:top w:w="0" w:type="dxa"/>
          <w:left w:w="0" w:type="dxa"/>
          <w:bottom w:w="0" w:type="dxa"/>
          <w:right w:w="0" w:type="dxa"/>
        </w:tblCellMar>
      </w:tblPr>
      <w:tblGrid>
        <w:gridCol w:w="75"/>
        <w:gridCol w:w="170"/>
        <w:gridCol w:w="6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of any known and unknown litigation and regulatory proceedings;</w:t>
            </w:r>
          </w:p>
        </w:tc>
      </w:tr>
    </w:tbl>
    <w:p>
      <w:pPr>
        <w:pStyle w:val="TextBody"/>
        <w:bidi w:val="0"/>
        <w:spacing w:before="0" w:after="0"/>
        <w:ind w:left="960" w:right="0" w:hanging="48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75"/>
        <w:gridCol w:w="170"/>
        <w:gridCol w:w="6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of any legal proceedings that may be instituted against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170"/>
        <w:gridCol w:w="4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underlying or related to any of the foregoing.</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sz w:val="20"/>
          <w:bdr w:val="single" w:sz="12" w:space="1" w:color="000000"/>
        </w:rPr>
      </w:pPr>
      <w:r>
        <w:rPr>
          <w:sz w:val="20"/>
          <w:bdr w:val="single" w:sz="12" w:space="1" w:color="000000"/>
        </w:rPr>
        <w:t>iii</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implement business plans, forecasts, and other expectations, and identify and realize additional opportunities;</w:t>
            </w:r>
          </w:p>
        </w:tc>
      </w:tr>
    </w:tbl>
    <w:p>
      <w:pPr>
        <w:pStyle w:val="TextBody"/>
        <w:bidi w:val="0"/>
        <w:spacing w:before="0" w:after="0"/>
        <w:ind w:left="960" w:right="0" w:hanging="48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ability to attract and retain users;</w:t>
            </w:r>
          </w:p>
        </w:tc>
      </w:tr>
    </w:tbl>
    <w:p>
      <w:pPr>
        <w:pStyle w:val="TextBody"/>
        <w:bidi w:val="0"/>
        <w:spacing w:before="0" w:after="0"/>
        <w:ind w:left="960" w:right="0" w:hanging="48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dependence upon third-party licenses;</w:t>
            </w:r>
          </w:p>
        </w:tc>
      </w:tr>
    </w:tbl>
    <w:p>
      <w:pPr>
        <w:pStyle w:val="TextBody"/>
        <w:bidi w:val="0"/>
        <w:spacing w:before="0" w:after="0"/>
        <w:ind w:left="960" w:right="0" w:hanging="48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170"/>
        <w:gridCol w:w="9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lack of control over the providers of our content and their effect on our access to music and other content;</w:t>
            </w:r>
          </w:p>
        </w:tc>
      </w:tr>
    </w:tbl>
    <w:p>
      <w:pPr>
        <w:pStyle w:val="TextBody"/>
        <w:bidi w:val="0"/>
        <w:spacing w:before="0" w:after="0"/>
        <w:ind w:left="960" w:right="0" w:hanging="48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Company may never achieve or sustain profitability;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Company will need to raise additional capital to execute its business plan, which may not be available on acceptable terms or at all;</w:t>
            </w:r>
          </w:p>
        </w:tc>
      </w:tr>
    </w:tbl>
    <w:p>
      <w:pPr>
        <w:pStyle w:val="TextBody"/>
        <w:bidi w:val="0"/>
        <w:spacing w:before="0" w:after="0"/>
        <w:ind w:left="960" w:right="0" w:hanging="48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75"/>
        <w:gridCol w:w="170"/>
        <w:gridCol w:w="8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Company experiences difficulties in managing its growth and expanding operations;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Company has identified material weaknesses in its internal control over financial reporting which, if not corrected, could affect the reliability of the Company’s financial statements; and</w:t>
            </w:r>
          </w:p>
        </w:tc>
      </w:tr>
    </w:tbl>
    <w:p>
      <w:pPr>
        <w:pStyle w:val="TextBody"/>
        <w:bidi w:val="0"/>
        <w:spacing w:before="0" w:after="0"/>
        <w:ind w:left="960" w:right="0" w:hanging="480"/>
        <w:jc w:val="both"/>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the Company may be adversely affected by other economic, business, and/or competitive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caution you against placing undue reliance on forward-looking statements, which reflect current beliefs and are based on information currently available as of the date a forward-looking statement is made. Forward-looking statements set forth herein speak only as of the date of such forward looking statements. We undertake no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and which you are advised to consult. For additional information, please see the section 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ranking and industry data used throughout this prospectus, including statements regarding market size, is based on the good faith estimates of our management, which in turn are based upon our management’s review of internal surveys, independent industry surveys and publications, and other third party research and publicly available information. These data involve a number of assumptions and limitations, and you are cautioned not to give undue weight to such estimates. While we are not aware of any misstatements regarding the industry data presented herein, our estimates involve risks and uncertainties and are subject to change based on various factors, including those discussed under the heading “Risk Factors” and “Management’s Discussion and Analysis of Financial Condition and Results of Operations” in this prospectus and in our Annual Report on Form 20-F for the year ended December 31, 2025, which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MARKETINDUSTRYANDOTHERDATA"/>
      <w:bookmarkEnd w:id="4"/>
      <w:r>
        <w:rPr>
          <w:rFonts w:ascii="Times New Roman;Times;Serif" w:hAnsi="Times New Roman;Times;Serif"/>
          <w:b/>
          <w:i w:val="false"/>
          <w:caps/>
          <w:sz w:val="20"/>
        </w:rPr>
        <w:t>MARKET, INDUSTRY AND OTHER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estimates, projections, and other information concerning our industry and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described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Unless otherwise expressly stated, we obtained this industry, business, market, and other data from reports, research surveys, studies, and similar data prepared by market research firms and other third parties, industry and general publications, government data, and similar sources. In some cases, we do not expressly refer to the sources from which this data is derived. When we refer to one or more sources of data in any paragraph, you should assume that other data of the same type appearing in the same paragraph is derived from such sources, unless otherwise expressly stated or the context otherwise requires. While we have compiled, extracted, and reproduced industry data from third-party sources (including any sources that we may have paid for, sponsored, or conducted), we have not independently verified the data. Forecasts and other forward-looking information with respect to industry, business, market, and other data are subject to the same qualifications and additional uncertainties regarding the other forward-looking statements in this prospectus. See the section entitled “Cautionary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TRADEMARKS"/>
      <w:bookmarkEnd w:id="5"/>
      <w:r>
        <w:rPr>
          <w:rFonts w:ascii="Times New Roman;Times;Serif" w:hAnsi="Times New Roman;Times;Serif"/>
          <w:b/>
          <w:i w:val="false"/>
          <w:caps/>
          <w:sz w:val="20"/>
        </w:rPr>
        <w:t>TRADEMARKS, TRADE NAMES AND SERVICE 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SELECTED"/>
      <w:bookmarkEnd w:id="6"/>
      <w:r>
        <w:rPr>
          <w:rFonts w:ascii="Times New Roman;Times;Serif" w:hAnsi="Times New Roman;Times;Serif"/>
          <w:b/>
          <w:i w:val="false"/>
          <w:caps/>
          <w:sz w:val="20"/>
        </w:rPr>
        <w:t>SELECTED DEFINITIONS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Amended and Restated Memorandum and Articles of Association” means the fifth amended and restated memorandum and articles of association of SAI adopted by special resolution dated April 24, 2026.</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bitcoin” means the type of virtual currency based on an open source cryptographic protocol existing on the Bitcoin Network.</w:t>
            </w:r>
          </w:p>
        </w:tc>
      </w:tr>
    </w:tbl>
    <w:p>
      <w:pPr>
        <w:pStyle w:val="TextBody"/>
        <w:bidi w:val="0"/>
        <w:spacing w:before="0" w:after="0"/>
        <w:ind w:left="960" w:right="0" w:hanging="48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pPr>
            <w:r>
              <w:rPr/>
              <w:t>“</w:t>
            </w:r>
            <w:r>
              <w:rPr>
                <w:rFonts w:ascii="Times New Roman;Times;Serif" w:hAnsi="Times New Roman;Times;Serif"/>
                <w:sz w:val="20"/>
              </w:rPr>
              <w:t>Board” means the board of directors of SAI.</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Business Combination” means the transactions contemplated by the Business Combination Agreement and consummated on April 29, 2022, including, the Merger;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Business Combination Agreement” means the Business Combination Agreement, as amended dated as of September 27, 2021, among TradeUP, Merger Sub and Old SAI, as amended as of October 20, 2021, and January 26, 2022, and March 22, 2022</w:t>
            </w:r>
            <w:r>
              <w:rPr>
                <w:rFonts w:ascii="Times New Roman;Times;Serif" w:hAnsi="Times New Roman;Times;Serif"/>
                <w:i/>
                <w:sz w:val="20"/>
              </w:rPr>
              <w:t>;</w:t>
            </w:r>
          </w:p>
        </w:tc>
      </w:tr>
    </w:tbl>
    <w:p>
      <w:pPr>
        <w:pStyle w:val="TextBody"/>
        <w:bidi w:val="0"/>
        <w:spacing w:before="0" w:after="0"/>
        <w:ind w:left="960" w:right="0" w:hanging="48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75"/>
        <w:gridCol w:w="170"/>
        <w:gridCol w:w="9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605"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means the class A ordinary shares of a par value of $0.0015 each in the share capital of SAI;</w:t>
            </w:r>
          </w:p>
        </w:tc>
      </w:tr>
    </w:tbl>
    <w:p>
      <w:pPr>
        <w:pStyle w:val="TextBody"/>
        <w:bidi w:val="0"/>
        <w:spacing w:before="0" w:after="0"/>
        <w:ind w:left="960" w:right="0" w:hanging="480"/>
        <w:jc w:val="both"/>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170"/>
        <w:gridCol w:w="9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395"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means the class B ordinary shares of a par value of $0.0015 each in the share capital SAI;</w:t>
            </w:r>
          </w:p>
        </w:tc>
      </w:tr>
    </w:tbl>
    <w:p>
      <w:pPr>
        <w:pStyle w:val="TextBody"/>
        <w:bidi w:val="0"/>
        <w:spacing w:before="0" w:after="0"/>
        <w:ind w:left="960" w:right="0" w:hanging="48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170"/>
        <w:gridCol w:w="6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350" w:type="dxa"/>
            <w:tcBorders/>
            <w:vAlign w:val="center"/>
          </w:tcPr>
          <w:p>
            <w:pPr>
              <w:pStyle w:val="TableContents"/>
              <w:bidi w:val="0"/>
              <w:spacing w:before="0" w:after="283"/>
              <w:jc w:val="both"/>
              <w:rPr/>
            </w:pPr>
            <w:r>
              <w:rPr/>
              <w:t>“</w:t>
            </w:r>
            <w:r>
              <w:rPr>
                <w:rFonts w:ascii="Times New Roman;Times;Serif" w:hAnsi="Times New Roman;Times;Serif"/>
                <w:sz w:val="20"/>
              </w:rPr>
              <w:t>Companies Act” means the Companies Act (Revised) of the Cayman Islands;</w:t>
            </w:r>
          </w:p>
        </w:tc>
      </w:tr>
    </w:tbl>
    <w:p>
      <w:pPr>
        <w:pStyle w:val="TextBody"/>
        <w:bidi w:val="0"/>
        <w:spacing w:before="0" w:after="0"/>
        <w:ind w:left="960" w:right="0" w:hanging="48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170"/>
        <w:gridCol w:w="6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020" w:type="dxa"/>
            <w:tcBorders/>
            <w:vAlign w:val="center"/>
          </w:tcPr>
          <w:p>
            <w:pPr>
              <w:pStyle w:val="TableContents"/>
              <w:bidi w:val="0"/>
              <w:spacing w:before="0" w:after="283"/>
              <w:jc w:val="both"/>
              <w:rPr/>
            </w:pPr>
            <w:r>
              <w:rPr/>
              <w:t>“</w:t>
            </w:r>
            <w:r>
              <w:rPr>
                <w:rFonts w:ascii="Times New Roman;Times;Serif" w:hAnsi="Times New Roman;Times;Serif"/>
                <w:sz w:val="20"/>
              </w:rPr>
              <w:t>Exchange Act” means the Securities Exchange Act of 1934, as amended;</w:t>
            </w:r>
          </w:p>
        </w:tc>
      </w:tr>
    </w:tbl>
    <w:p>
      <w:pPr>
        <w:pStyle w:val="TextBody"/>
        <w:bidi w:val="0"/>
        <w:spacing w:before="0" w:after="0"/>
        <w:ind w:left="960" w:right="0" w:hanging="48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6380" w:type="dxa"/>
            <w:tcBorders/>
            <w:vAlign w:val="center"/>
          </w:tcPr>
          <w:p>
            <w:pPr>
              <w:pStyle w:val="TableContents"/>
              <w:bidi w:val="0"/>
              <w:spacing w:before="0" w:after="283"/>
              <w:jc w:val="both"/>
              <w:rPr/>
            </w:pPr>
            <w:r>
              <w:rPr/>
              <w:t>“</w:t>
            </w:r>
            <w:r>
              <w:rPr>
                <w:rFonts w:ascii="Times New Roman;Times;Serif" w:hAnsi="Times New Roman;Times;Serif"/>
                <w:sz w:val="20"/>
              </w:rPr>
              <w:t>GAAP” means generally accepted accounting principles in the United States;</w:t>
            </w:r>
          </w:p>
        </w:tc>
      </w:tr>
    </w:tbl>
    <w:p>
      <w:pPr>
        <w:pStyle w:val="TextBody"/>
        <w:bidi w:val="0"/>
        <w:spacing w:before="0" w:after="0"/>
        <w:ind w:left="960" w:right="0" w:hanging="48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905" w:type="dxa"/>
            <w:tcBorders/>
            <w:vAlign w:val="center"/>
          </w:tcPr>
          <w:p>
            <w:pPr>
              <w:pStyle w:val="TableContents"/>
              <w:bidi w:val="0"/>
              <w:spacing w:before="0" w:after="283"/>
              <w:jc w:val="both"/>
              <w:rPr/>
            </w:pPr>
            <w:r>
              <w:rPr/>
              <w:t>“</w:t>
            </w:r>
            <w:r>
              <w:rPr>
                <w:rFonts w:ascii="Times New Roman;Times;Serif" w:hAnsi="Times New Roman;Times;Serif"/>
                <w:sz w:val="20"/>
              </w:rPr>
              <w:t>IRS” means the U.S. Internal Revenue Service;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Merger” means the merger of Merger Sub with Old SAI, with Old SAI surviving such merger and Old SAI becoming a wholly owned subsidiary of TradeUP, pursuant to the Business Combination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Merger Sub” means TGC Merger Sub, an exempted company with limited liability incorporated under the laws of Cayman Islands;</w:t>
            </w:r>
          </w:p>
        </w:tc>
      </w:tr>
    </w:tbl>
    <w:p>
      <w:pPr>
        <w:pStyle w:val="TextBody"/>
        <w:bidi w:val="0"/>
        <w:spacing w:before="0" w:after="0"/>
        <w:ind w:left="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725" w:type="dxa"/>
            <w:tcBorders/>
            <w:vAlign w:val="center"/>
          </w:tcPr>
          <w:p>
            <w:pPr>
              <w:pStyle w:val="TableContents"/>
              <w:bidi w:val="0"/>
              <w:spacing w:before="0" w:after="283"/>
              <w:jc w:val="both"/>
              <w:rPr/>
            </w:pPr>
            <w:r>
              <w:rPr/>
              <w:t>“</w:t>
            </w:r>
            <w:r>
              <w:rPr>
                <w:rFonts w:ascii="Times New Roman;Times;Serif" w:hAnsi="Times New Roman;Times;Serif"/>
                <w:sz w:val="20"/>
              </w:rPr>
              <w:t>Nasdaq” means The Nasdaq Capital Market;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Old SAI” means an exempted company with limited liability incorporated under the laws of Cayman Islands named SAITECH Limited before the consummation of the Business Combination, which survived the Merger and became a wholly owned subsidiary of TradeUP, pursuant to the Business Combination Agreement;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ordinary resolution” means a resolution passed by a simple majority of the shareholders as, being entitled to do so, vote in person or, where proxies are allowed, by proxy at a general meeting, and includes a unanimous written resolution. In computing the majority when a poll is demanded regard shall be had to the number of votes to which each shareholder is entitled by the Amended and Restated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vi</w:t>
      </w:r>
    </w:p>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pPr>
            <w:r>
              <w:rPr/>
              <w:t>“</w:t>
            </w:r>
            <w:r>
              <w:rPr>
                <w:rFonts w:ascii="Times New Roman;Times;Serif" w:hAnsi="Times New Roman;Times;Serif"/>
                <w:sz w:val="20"/>
              </w:rPr>
              <w:t>Ordinary Shares” means, collectively, the Class A Ordinary Shares and the Class B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170"/>
        <w:gridCol w:w="3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800" w:type="dxa"/>
            <w:tcBorders/>
            <w:vAlign w:val="center"/>
          </w:tcPr>
          <w:p>
            <w:pPr>
              <w:pStyle w:val="TableContents"/>
              <w:bidi w:val="0"/>
              <w:spacing w:before="0" w:after="283"/>
              <w:jc w:val="both"/>
              <w:rPr/>
            </w:pPr>
            <w:r>
              <w:rPr/>
              <w:t>“</w:t>
            </w:r>
            <w:r>
              <w:rPr>
                <w:rFonts w:ascii="Times New Roman;Times;Serif" w:hAnsi="Times New Roman;Times;Serif"/>
                <w:sz w:val="20"/>
              </w:rPr>
              <w:t>PRC” means the People’s Republic of China;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SAI” means SAIHEAT Limited (formerly named TradeUP Global Corporation and SAI.TECH Global Corporation), which became the parent of Old SAI following the consummation of the Business Combination;</w:t>
            </w:r>
          </w:p>
        </w:tc>
      </w:tr>
    </w:tbl>
    <w:p>
      <w:pPr>
        <w:pStyle w:val="TextBody"/>
        <w:bidi w:val="0"/>
        <w:spacing w:before="0" w:after="0"/>
        <w:ind w:left="960" w:right="0" w:hanging="48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985" w:type="dxa"/>
            <w:tcBorders/>
            <w:vAlign w:val="center"/>
          </w:tcPr>
          <w:p>
            <w:pPr>
              <w:pStyle w:val="TableContents"/>
              <w:bidi w:val="0"/>
              <w:spacing w:before="0" w:after="283"/>
              <w:jc w:val="both"/>
              <w:rPr/>
            </w:pPr>
            <w:r>
              <w:rPr/>
              <w:t>“</w:t>
            </w:r>
            <w:r>
              <w:rPr>
                <w:rFonts w:ascii="Times New Roman;Times;Serif" w:hAnsi="Times New Roman;Times;Serif"/>
                <w:sz w:val="20"/>
              </w:rPr>
              <w:t>SEC” means the U.S. Securities and Exchange Commission;</w:t>
            </w:r>
          </w:p>
        </w:tc>
      </w:tr>
    </w:tbl>
    <w:p>
      <w:pPr>
        <w:pStyle w:val="TextBody"/>
        <w:bidi w:val="0"/>
        <w:spacing w:before="0" w:after="0"/>
        <w:ind w:left="960" w:right="0" w:hanging="48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525" w:type="dxa"/>
            <w:tcBorders/>
            <w:vAlign w:val="center"/>
          </w:tcPr>
          <w:p>
            <w:pPr>
              <w:pStyle w:val="TableContents"/>
              <w:bidi w:val="0"/>
              <w:spacing w:before="0" w:after="283"/>
              <w:jc w:val="both"/>
              <w:rPr/>
            </w:pPr>
            <w:r>
              <w:rPr/>
              <w:t>“</w:t>
            </w:r>
            <w:r>
              <w:rPr>
                <w:rFonts w:ascii="Times New Roman;Times;Serif" w:hAnsi="Times New Roman;Times;Serif"/>
                <w:sz w:val="20"/>
              </w:rPr>
              <w:t>Securities Act” means the U.S. Securities Act of 1933, as amended;</w:t>
            </w:r>
          </w:p>
        </w:tc>
      </w:tr>
    </w:tbl>
    <w:p>
      <w:pPr>
        <w:pStyle w:val="TextBody"/>
        <w:bidi w:val="0"/>
        <w:spacing w:before="0" w:after="0"/>
        <w:ind w:left="960" w:right="0" w:hanging="48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245" w:type="dxa"/>
            <w:tcBorders/>
            <w:vAlign w:val="center"/>
          </w:tcPr>
          <w:p>
            <w:pPr>
              <w:pStyle w:val="TableContents"/>
              <w:bidi w:val="0"/>
              <w:spacing w:before="0" w:after="283"/>
              <w:jc w:val="both"/>
              <w:rPr/>
            </w:pPr>
            <w:r>
              <w:rPr/>
              <w:t>“</w:t>
            </w:r>
            <w:r>
              <w:rPr>
                <w:rFonts w:ascii="Times New Roman;Times;Serif" w:hAnsi="Times New Roman;Times;Serif"/>
                <w:sz w:val="20"/>
              </w:rPr>
              <w:t>special resolution” has the same meaning as in the Companies Act, and includes a unanimous written resolution;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TradeUP IPO” means TradeUP’s initial public offering, consummated on May 3, 2021, through the sale of 4,488,986 Units (including the 488,986 Units sold pursuant to the underwriters’ partial exercise of their over-allotment option at $10.00 per unit);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Units” means one Class A Ordinary Share and one-half of one warrant, whereby each warrant entitles the holder thereto to purchase one Class A Ordinary Share at an exercise price of $11.50 per share, sold in the TradeUP IPO.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vii</w:t>
      </w:r>
    </w:p>
    <w:p>
      <w:pPr>
        <w:pStyle w:val="TextBody"/>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3" w:color="000000"/>
        </w:rPr>
      </w:pPr>
      <w:bookmarkStart w:id="7" w:name="SUMMARY"/>
      <w:bookmarkEnd w:id="7"/>
      <w:r>
        <w:rPr>
          <w:rFonts w:ascii="Times New Roman;Times;Serif" w:hAnsi="Times New Roman;Times;Serif"/>
          <w:b/>
          <w:i w:val="false"/>
          <w:caps/>
          <w:sz w:val="20"/>
          <w:bdr w:val="single" w:sz="12" w:space="3" w:color="000000"/>
        </w:rPr>
        <w:t>SUMMARY</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3" w:color="000000"/>
        </w:rPr>
      </w:pPr>
      <w:r>
        <w:rPr>
          <w:rFonts w:ascii="Times New Roman;Times;Serif" w:hAnsi="Times New Roman;Times;Serif"/>
          <w:b w:val="false"/>
          <w:i/>
          <w:caps w:val="false"/>
          <w:smallCaps w:val="false"/>
          <w:sz w:val="20"/>
          <w:bdr w:val="single" w:sz="12" w:space="3" w:color="000000"/>
        </w:rPr>
        <w:t>This summary highlights information contained elsewhere in this prospectus or incorporated by reference in this prospectus. This summary may not contain all the information that may be important to you, and we urge you to read this entire prospectus and the documents incorporated by reference in this prospectus carefully before deciding to invest in our securities. For additional information, see “Where You Can Find More Information” in this prospectus.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Overview</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SAIHEAT Limited is a computing and energy operator dedicated to accelerating the realization of Sustainable Augmented Intelligence. Its computing division offers BTC joint computing power and AI cloud computing services, while its energy division provides liquid-cooled computing centers and small modular nuclear products. Since our founding in 2019, we have been committed to developing comprehensive energy-saving bitcoin mining solutions that can optimize the major costs of the operation and promote clean energy transition for our clients. The uniqueness of our solutions is that we use proprietary liquid cooling and waste heat recovery technology for bitcoin mining activities, which utilizes waste heat generated from bitcoin mining operation at up to 97% thermal efficiency to provide recycled energy in form of hot water to potential heating demand customers. Our mission is to become the sustainable distributed crypto asset mining operator and heating supplier globally, while simultaneously promote the clean energy transition of the bitcoin mining, power and heating industries.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Summary of Risk Factors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Investing in our securities may expose you to a number of risks, including risks relating to our business, industry and operations, risks relating to government regulation regulatory framework, risks relating to cryptocurrency, risks related to cryptocurrency mining, risks related to investments outside of the United States, risks related to China, risks related to doing business in China, risks related to Kazakhstan, risks related to ownership of our Class A Ordinary Shares. The following summarizes part, but not all, of these risks. Please carefully consider all of the information discussed in most recent Annual Report on Form 20-F for the year ended December 31, 2025, as filed with the SEC on April 30, 2026, and the updates, if any, to those risk factors in our reports on Form 6-K incorporated by reference in this prospectus, together with all of the other information appearing or incorporated by reference in this prospectus, which contains a more thorough description of risks relating to investing in us.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Our Business, Industry and Operations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have a limited operating history in an evolving and highly volatile industry and are undergoing a business transition, which makes it difficult to evaluate our future prospects and may increase the risk that we will not be successful.</w:t>
            </w:r>
          </w:p>
        </w:tc>
      </w:tr>
    </w:tbl>
    <w:p>
      <w:pPr>
        <w:pStyle w:val="TextBody"/>
        <w:bidi w:val="0"/>
        <w:spacing w:before="0" w:after="0"/>
        <w:ind w:left="36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operating results may fluctuate due to the highly volatile nature of cryptocurrencies in general and, specifically, bitcoin.</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Bitcoin mining activities are energy-intensive, which may restrict the geographic locations of mining machines and have a negative environmental impact. Government regulators may potentially restrict the ability of electricity suppliers to provide electricity to mining operations, such as ours.</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Unfavorable global economic, business or political conditions, such as the sudden tariff adjustments and increases, and the disruption caused by various countermeasures to reduce its spread, could adversely affect our business, prospects, financial condition, and operating results.</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we are unable to protect the confidentiality of our trade secrets, our business and competitive position could be harmed.</w:t>
            </w:r>
          </w:p>
        </w:tc>
      </w:tr>
    </w:tbl>
    <w:p>
      <w:pPr>
        <w:pStyle w:val="TextBody"/>
        <w:bidi w:val="0"/>
        <w:spacing w:before="0" w:after="0"/>
        <w:ind w:left="360" w:right="0" w:hanging="36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360" w:right="0" w:hanging="36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Government Regulation Regulatory Framework</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bitcoin or other cryptocurrencies are determined to be investment securities, and we hold a significant portion of its assets in such cryptocurrency, investment securities or non-controlling equity interests of other entities, we may inadvertently violate the Investment Company Act. We could incur large losses to modify our operations to avoid the need to register as an investment company or could incur significant expenses to register as an investment company or could terminate operations altogether.</w:t>
            </w:r>
          </w:p>
        </w:tc>
      </w:tr>
    </w:tbl>
    <w:p>
      <w:pPr>
        <w:pStyle w:val="TextBody"/>
        <w:bidi w:val="0"/>
        <w:spacing w:before="0" w:after="0"/>
        <w:ind w:left="360" w:right="0" w:hanging="360"/>
        <w:jc w:val="left"/>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There is no one unifying principle governing the regulatory status of cryptocurrency nor whether cryptocurrency is a security in each context in which it is viewed. Regulatory changes or actions in one or more countries may alter the nature of an investment in us or restrict the use of crypto assets, such as cryptocurrencies, in a manner that adversely affects our business, prospects or operations.</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Cryptocurrency</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loss or destruction of any private keys required to access our digital wallet may be irreversible. If we are unable to access our private keys (whether due to loss, destruction, security incident or otherwise), it could cause direct financial loss, regulatory scrutiny and reputational harm.</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Distributing crypto assets in connection with our mining pool business involves risks, which could result in loss of customer assets, customer disputes and other liabilities, adversely impact our business, results of operations and/or financial condition.</w:t>
            </w:r>
          </w:p>
        </w:tc>
      </w:tr>
    </w:tbl>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contributors to all or a network for any particular crypto asset, such as bitcoin, could propose amendments to the respective network’s protocols and software that, if accepted and authorized by such network, could adversely affect our business.</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Cryptocurrency Mining</w:t>
      </w:r>
    </w:p>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supply of bitcoin is limited, and production of bitcoin is negatively impacted by the bitcoin halving protocol expected every four years.</w:t>
            </w:r>
          </w:p>
        </w:tc>
      </w:tr>
    </w:tbl>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periodic adjustments to the crypto asset networks, such as bitcoin, regarding the difficulty for block solutions, with reductions in the aggregate hash rate or otherwise, could have a material adverse effect on our business, prospects, financial condition, and operating results. If the award of new bitcoin for solving blocks and transaction fees for recording transactions are not sufficiently high to incentivize miners, miners may cease expending processing power, or hash rate, to solve blocks and confirmations of transactions on the bitcoin blockchain could be slowed.</w:t>
            </w:r>
          </w:p>
        </w:tc>
      </w:tr>
    </w:tbl>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Bitcoin and any other cryptocurrencies that could be held by us are not insured and not subject to FDIC or SIPC protections.</w:t>
            </w:r>
          </w:p>
        </w:tc>
      </w:tr>
    </w:tbl>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firstLine="5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Investments Outside of the United States</w:t>
      </w:r>
    </w:p>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a company with operations and opportunities outside of the U.S., we may face additional burdens and be subject to a variety of additional risks or considerations associated with companies operating in an international setting that may negatively impact our operations.</w:t>
            </w:r>
          </w:p>
        </w:tc>
      </w:tr>
    </w:tbl>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relations between the United States and foreign governments deteriorate, they could affect our operations and cause our goods and services to become less attractive.</w:t>
            </w:r>
          </w:p>
        </w:tc>
      </w:tr>
    </w:tbl>
    <w:p>
      <w:pPr>
        <w:pStyle w:val="TextBody"/>
        <w:bidi w:val="0"/>
        <w:spacing w:before="0" w:after="0"/>
        <w:ind w:left="72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China</w:t>
      </w:r>
    </w:p>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Though we have a Singapore-based auditor and a U.S. based predecessor auditor that are registered with the PCAOB and currently subject to PCAOB inspection, if it is later determined that the PCAOB is unable to inspect or investigate completely the company’s auditors because of a position taken by an authority in a foreign jurisdiction, trading in our securities may be prohibited under the Holding Foreign Companies Accountable Act and as a result an exchange may determine to delist our securities.</w:t>
            </w:r>
          </w:p>
        </w:tc>
      </w:tr>
    </w:tbl>
    <w:p>
      <w:pPr>
        <w:pStyle w:val="TextBody"/>
        <w:bidi w:val="0"/>
        <w:spacing w:before="0" w:after="0"/>
        <w:ind w:left="36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Doing Business in China</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PRC regulations relating to offshore investment activities by PRC residents may expose us or our PRC resident beneficial owners to liability and penalties under PRC law.</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PRC government may exert, at any time, with little to no notice, substantial interventions and influences over the manner in which a business must conduct its business operations that cannot always be expected nor anticipated, if such business has some presence/operations in China. If the PRC government at any time substantially intervenes, influences, or establishes new policies, regulations, rules, or laws in a business’s industry, such substantial intervention or influence may result in adverse impact on such business’s operations and the value of such business’s securities, including causing the value of such securities to decline.</w:t>
            </w:r>
          </w:p>
        </w:tc>
      </w:tr>
    </w:tbl>
    <w:p>
      <w:pPr>
        <w:pStyle w:val="TextBody"/>
        <w:bidi w:val="0"/>
        <w:spacing w:before="0" w:after="0"/>
        <w:ind w:left="0" w:right="0" w:firstLine="5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3" w:color="000000"/>
        </w:rPr>
      </w:pPr>
      <w:r>
        <w:rPr>
          <w:rFonts w:ascii="Times New Roman;Times;Serif" w:hAnsi="Times New Roman;Times;Serif"/>
          <w:b/>
          <w:i/>
          <w:caps w:val="false"/>
          <w:smallCaps w:val="false"/>
          <w:sz w:val="20"/>
          <w:bdr w:val="single" w:sz="12" w:space="3" w:color="000000"/>
        </w:rPr>
        <w:t>Risks Related to Ownership of our Class A Ordinary Shares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a result of our plans to expand operations, including to jurisdictions in which the tax laws may not be favorable, our tax rate may fluctuate, our tax obligations may become significantly more complex and subject to greater risk of examination by taxing authorities or we may be subject to future changes in tax law, the impacts of which could adversely affect our after-tax profitability and financial results.</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center"/>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History and Development of the Company</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SAIHEAT Limited, are a holding company incorporated in the Cayman Islands and conduct our operations primarily through our subsidiaries including (a) Sustainable Available Innovative PTE. LTD (Singapore) — General headquarter, responsible for business coordination; (b) Hangzhou Dareruohan Technology Co., Ltd. (WOFE) — Global R&amp;D and supply chain center; and (c) SAI US INC. (USA) — Develops and manages projects and business in North American market. We began our operations in 2019. The following diagram illustrates our Company’s organizational structure, and the place of formation, ownership interest and affiliation of each of our principal subsidiaries and affiliated entities as of the date of this prospectus:</w:t>
      </w:r>
    </w:p>
    <w:p>
      <w:pPr>
        <w:pStyle w:val="TextBody"/>
        <w:bidi w:val="0"/>
        <w:spacing w:before="0" w:after="0"/>
        <w:jc w:val="center"/>
        <w:rPr>
          <w:caps w:val="false"/>
          <w:smallCaps w:val="false"/>
          <w:bdr w:val="single" w:sz="12" w:space="3" w:color="000000"/>
        </w:rPr>
      </w:pPr>
      <w:r>
        <w:rPr>
          <w:caps w:val="false"/>
          <w:smallCaps w:val="false"/>
          <w:bdr w:val="single" w:sz="12" w:space="3" w:color="000000"/>
        </w:rPr>
        <w:t> </w:t>
      </w:r>
    </w:p>
    <w:p>
      <w:pPr>
        <w:pStyle w:val="TextBody"/>
        <w:bidi w:val="0"/>
        <w:spacing w:before="0" w:after="0"/>
        <w:jc w:val="center"/>
        <w:rPr>
          <w:caps w:val="false"/>
          <w:smallCaps w:val="false"/>
          <w:bdr w:val="single" w:sz="12" w:space="3" w:color="000000"/>
        </w:rPr>
      </w:pPr>
      <w:r>
        <w:rPr>
          <w:caps w:val="false"/>
          <w:smallCaps w:val="false"/>
          <w:bdr w:val="single" w:sz="12" w:space="3" w:color="000000"/>
        </w:rPr>
        <w:drawing>
          <wp:inline distT="0" distB="0" distL="0" distR="0">
            <wp:extent cx="3810000" cy="3762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3810000" cy="3762375"/>
                    </a:xfrm>
                    <a:prstGeom prst="rect">
                      <a:avLst/>
                    </a:prstGeom>
                  </pic:spPr>
                </pic:pic>
              </a:graphicData>
            </a:graphic>
          </wp:inline>
        </w:drawing>
      </w:r>
    </w:p>
    <w:p>
      <w:pPr>
        <w:pStyle w:val="TextBody"/>
        <w:bidi w:val="0"/>
        <w:spacing w:before="0" w:after="0"/>
        <w:jc w:val="center"/>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Stock Exchange Listing</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SAIHEAT Limited’s Class A Ordinary Shares and IPO Warrants are listed on the Nasdaq Capital Market under the symbols “SAI” and “SAITW”, respectively.</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Corporate Information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are a Cayman Islands exempted company limited by shares, operating under the Companies Act of the Cayman Islands. Our principal executive office is c/o #266A South Bridge Road, #02-01 Singapore (058815). The telephone number of our principal executive office is +65 9656 5641. Our registered office provider in the Cayman Islands is BOLDER CORPORATE SERVICES (CAYMAN) LIMITED. Our registered office in the Cayman Islands is located at 3-212 Governors Square, 23 Lime Tree Bay Avenue, P.O. Box 30746, Seven Mile Beach, Grand Cayman KY1-1203, Cayman Islands. Our primary website address is https://saiheat.com/. The information on our websites do not form a part of this prospectus. Our agent for service of process in the United States is Puglisi &amp; Associates, located at t 850 Library Avenue, Suite 204, Newark, Delaware 19711. The SEC maintains an Internet site at http://www.sec.gov that contains electronic reports, proxy and information statements, and other information regarding us and other issuers that file electronically with the SEC</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Implications of Being an Emerging Growth Company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are an emerging growth company as defined in the Jumpstart Our Business Startups Act of 2012 (the “JOBS Act”). We are an emerging growth company until the earliest to occur of: the last day of the fiscal year in which we have more than $1.235 billion in annual revenues;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the closing of the Business Combination.</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As an emerging growth company, we may take advantage of certain exemptions from various reporting requirements that are applicable to other publicly traded entities that are not emerging growth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the benefits of this extended transition period provided under the JOBS Act for complying with new or revised accounting standards. As a result, our operating results and financial statements may not be comparable to the operating results and financial statements of other companies who have adopted the new or revised accounting standards.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Implications of Being a Foreign Private Issuer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are also considered as a “foreign private issuer.” Accordingly, we report under the Exchange Act of 1934, as amended, or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w:t>
      </w:r>
    </w:p>
    <w:p>
      <w:pPr>
        <w:pStyle w:val="TextBody"/>
        <w:shd w:fill="FFFFFF" w:val="clear"/>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As a foreign private issuer with shares listed on Nasdaq, we are subject to corporate governance requirements imposed by Nasdaq. Under Nasdaq Stock Market Rule 5615(a)(3), a foreign private issuer such as us may follow its home-country corporate governance practices in lieu of certain of the Nasdaq Stock Market Rules corporate governance requirements. We are committed to a high standard of corporate governance. As such, we strive to comply with most of the Nasdaq corporate governance practices. However, certain corporate governance practices in the Cayman Islands, which is our home country, may differ significantly from the Nasdaq corporate governance listing standards. We intend to follow Cayman Islands corporate governance practices in lieu of the corporate governance requirements of the Nasdaq that listed companies must, for instance:</w:t>
      </w:r>
    </w:p>
    <w:p>
      <w:pPr>
        <w:pStyle w:val="TextBody"/>
        <w:shd w:fill="FFFFFF" w:val="clear"/>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8590" w:type="dxa"/>
        <w:jc w:val="left"/>
        <w:tblInd w:w="0" w:type="dxa"/>
        <w:shd w:fill="FFFFFF" w:val="clear"/>
        <w:tblLayout w:type="fixed"/>
        <w:tblCellMar>
          <w:top w:w="0" w:type="dxa"/>
          <w:left w:w="0" w:type="dxa"/>
          <w:bottom w:w="0" w:type="dxa"/>
          <w:right w:w="0" w:type="dxa"/>
        </w:tblCellMar>
      </w:tblPr>
      <w:tblGrid>
        <w:gridCol w:w="105"/>
        <w:gridCol w:w="200"/>
        <w:gridCol w:w="8285"/>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82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a nomination and corporate governance committee composed entirely of independent directors;</w:t>
            </w:r>
          </w:p>
        </w:tc>
      </w:tr>
    </w:tbl>
    <w:p>
      <w:pPr>
        <w:pStyle w:val="TextBody"/>
        <w:shd w:fill="FFFFFF" w:val="clear"/>
        <w:bidi w:val="0"/>
        <w:spacing w:before="0" w:after="0"/>
        <w:ind w:left="720" w:right="0" w:hanging="0"/>
        <w:jc w:val="both"/>
        <w:rPr>
          <w:caps w:val="false"/>
          <w:smallCaps w:val="false"/>
          <w:bdr w:val="single" w:sz="12" w:space="3" w:color="000000"/>
        </w:rPr>
      </w:pPr>
      <w:r>
        <w:rPr>
          <w:caps w:val="false"/>
          <w:smallCaps w:val="false"/>
          <w:bdr w:val="single" w:sz="12" w:space="3" w:color="000000"/>
        </w:rPr>
        <w:t> </w:t>
      </w:r>
    </w:p>
    <w:tbl>
      <w:tblPr>
        <w:tblW w:w="6640" w:type="dxa"/>
        <w:jc w:val="left"/>
        <w:tblInd w:w="0" w:type="dxa"/>
        <w:shd w:fill="FFFFFF" w:val="clear"/>
        <w:tblLayout w:type="fixed"/>
        <w:tblCellMar>
          <w:top w:w="0" w:type="dxa"/>
          <w:left w:w="0" w:type="dxa"/>
          <w:bottom w:w="0" w:type="dxa"/>
          <w:right w:w="0" w:type="dxa"/>
        </w:tblCellMar>
      </w:tblPr>
      <w:tblGrid>
        <w:gridCol w:w="105"/>
        <w:gridCol w:w="200"/>
        <w:gridCol w:w="6335"/>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both"/>
              <w:rPr/>
            </w:pPr>
            <w:r>
              <w:rPr/>
              <w:t>●</w:t>
            </w:r>
          </w:p>
        </w:tc>
        <w:tc>
          <w:tcPr>
            <w:tcW w:w="63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a compensation committee composed entirely of independent directors;</w:t>
            </w:r>
          </w:p>
        </w:tc>
      </w:tr>
    </w:tbl>
    <w:p>
      <w:pPr>
        <w:pStyle w:val="TextBody"/>
        <w:shd w:fill="FFFFFF" w:val="clear"/>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both"/>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an annual certification by our chief executive officer that he or she is not aware of any non-compliance with any corporate governance rules of the Nasdaq;</w:t>
            </w:r>
          </w:p>
        </w:tc>
      </w:tr>
    </w:tbl>
    <w:p>
      <w:pPr>
        <w:pStyle w:val="TextBody"/>
        <w:shd w:fill="FFFFFF" w:val="clear"/>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5 </w:t>
      </w:r>
    </w:p>
    <w:p>
      <w:pPr>
        <w:pStyle w:val="TextBody"/>
        <w:shd w:fill="FFFFFF" w:val="clear"/>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tbl>
      <w:tblPr>
        <w:tblW w:w="4300" w:type="dxa"/>
        <w:jc w:val="left"/>
        <w:tblInd w:w="0" w:type="dxa"/>
        <w:shd w:fill="FFFFFF" w:val="clear"/>
        <w:tblLayout w:type="fixed"/>
        <w:tblCellMar>
          <w:top w:w="0" w:type="dxa"/>
          <w:left w:w="0" w:type="dxa"/>
          <w:bottom w:w="0" w:type="dxa"/>
          <w:right w:w="0" w:type="dxa"/>
        </w:tblCellMar>
      </w:tblPr>
      <w:tblGrid>
        <w:gridCol w:w="105"/>
        <w:gridCol w:w="200"/>
        <w:gridCol w:w="3995"/>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39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 an annual general meeting of shareholders;</w:t>
            </w:r>
          </w:p>
        </w:tc>
      </w:tr>
    </w:tbl>
    <w:p>
      <w:pPr>
        <w:pStyle w:val="TextBody"/>
        <w:shd w:fill="FFFFFF" w:val="clear"/>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tbl>
      <w:tblPr>
        <w:tblW w:w="6895" w:type="dxa"/>
        <w:jc w:val="left"/>
        <w:tblInd w:w="0" w:type="dxa"/>
        <w:shd w:fill="FFFFFF" w:val="clear"/>
        <w:tblLayout w:type="fixed"/>
        <w:tblCellMar>
          <w:top w:w="0" w:type="dxa"/>
          <w:left w:w="0" w:type="dxa"/>
          <w:bottom w:w="0" w:type="dxa"/>
          <w:right w:w="0" w:type="dxa"/>
        </w:tblCellMar>
      </w:tblPr>
      <w:tblGrid>
        <w:gridCol w:w="105"/>
        <w:gridCol w:w="200"/>
        <w:gridCol w:w="659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6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have regularly scheduled executive sessions with only independent directors; or</w:t>
            </w:r>
          </w:p>
        </w:tc>
      </w:tr>
    </w:tbl>
    <w:p>
      <w:pPr>
        <w:pStyle w:val="TextBody"/>
        <w:shd w:fill="FFFFFF" w:val="clear"/>
        <w:bidi w:val="0"/>
        <w:spacing w:before="0" w:after="0"/>
        <w:ind w:left="0" w:right="0" w:hanging="0"/>
        <w:jc w:val="left"/>
        <w:rPr>
          <w:caps w:val="false"/>
          <w:smallCaps w:val="false"/>
          <w:bdr w:val="single" w:sz="12" w:space="3" w:color="000000"/>
        </w:rPr>
      </w:pPr>
      <w:r>
        <w:rPr>
          <w:caps w:val="false"/>
          <w:smallCaps w:val="false"/>
          <w:bdr w:val="single" w:sz="12" w:space="3" w:color="000000"/>
        </w:rPr>
        <w:t> </w:t>
      </w:r>
    </w:p>
    <w:tbl>
      <w:tblPr>
        <w:tblW w:w="10205" w:type="dxa"/>
        <w:jc w:val="left"/>
        <w:tblInd w:w="0" w:type="dxa"/>
        <w:shd w:fill="FFFFFF" w:val="clear"/>
        <w:tblLayout w:type="fixed"/>
        <w:tblCellMar>
          <w:top w:w="0" w:type="dxa"/>
          <w:left w:w="0" w:type="dxa"/>
          <w:bottom w:w="0" w:type="dxa"/>
          <w:right w:w="0" w:type="dxa"/>
        </w:tblCellMar>
      </w:tblPr>
      <w:tblGrid>
        <w:gridCol w:w="105"/>
        <w:gridCol w:w="200"/>
        <w:gridCol w:w="9900"/>
      </w:tblGrid>
      <w:tr>
        <w:trPr/>
        <w:tc>
          <w:tcPr>
            <w:tcW w:w="1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99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 shareholder approval for (a) the implementation and material revisions of the terms of share incentive plans; (b) the issuance of more than 1% of our outstanding ordinary shares or more than 1% of our outstanding voting power to a related party; (c) the issuance of more than 20% of our outstanding ordinary shares; and (d) an issuance that would result in a change of control.</w:t>
            </w:r>
          </w:p>
        </w:tc>
      </w:tr>
    </w:tbl>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In this prospectus and in the documents and information incorporated by reference in this prospectus, we have taken advantage of certain of the reduced reporting requirements as a result of being an emerging growth company and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3" w:color="000000"/>
        </w:rPr>
      </w:pPr>
      <w:r>
        <w:rPr>
          <w:rFonts w:ascii="Times New Roman;Times;Serif" w:hAnsi="Times New Roman;Times;Serif"/>
          <w:b/>
          <w:i w:val="false"/>
          <w:caps w:val="false"/>
          <w:smallCaps w:val="false"/>
          <w:sz w:val="20"/>
          <w:bdr w:val="single" w:sz="12" w:space="3" w:color="000000"/>
        </w:rPr>
        <w:t xml:space="preserve">The Securities That May Be Offered </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We may offer or sell Class A Ordinary Shares, debt securities, warrants, rights, and units in one or more offerings and in any combination. Each time securities are offered with this prospectus, we will provide a prospectus supplement that will describe the specific amounts, prices and terms of the securities being offered and the net proceeds we expect to receive from that sale.</w:t>
      </w:r>
    </w:p>
    <w:p>
      <w:pPr>
        <w:pStyle w:val="TextBody"/>
        <w:bidi w:val="0"/>
        <w:spacing w:before="0" w:after="0"/>
        <w:ind w:left="0" w:right="0" w:hanging="0"/>
        <w:jc w:val="both"/>
        <w:rPr>
          <w:caps w:val="false"/>
          <w:smallCaps w:val="false"/>
          <w:bdr w:val="single" w:sz="12" w:space="3" w:color="000000"/>
        </w:rPr>
      </w:pPr>
      <w:r>
        <w:rPr>
          <w:caps w:val="false"/>
          <w:smallCaps w:val="false"/>
          <w:bdr w:val="single" w:sz="12" w:space="3"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3" w:color="000000"/>
        </w:rPr>
      </w:pPr>
      <w:r>
        <w:rPr>
          <w:rFonts w:ascii="Times New Roman;Times;Serif" w:hAnsi="Times New Roman;Times;Serif"/>
          <w:b w:val="false"/>
          <w:i w:val="false"/>
          <w:caps w:val="false"/>
          <w:smallCaps w:val="false"/>
          <w:sz w:val="20"/>
          <w:bdr w:val="single" w:sz="12" w:space="3" w:color="000000"/>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pStyle w:val="TextBody"/>
        <w:bidi w:val="0"/>
        <w:spacing w:before="0" w:after="0"/>
        <w:ind w:left="0" w:right="0" w:hanging="0"/>
        <w:jc w:val="both"/>
        <w:rPr>
          <w:caps/>
          <w:bdr w:val="single" w:sz="12" w:space="3" w:color="000000"/>
        </w:rPr>
      </w:pPr>
      <w:r>
        <w:rPr>
          <w:caps/>
          <w:bdr w:val="single" w:sz="12" w:space="3"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RISKFACTORS"/>
      <w:bookmarkEnd w:id="8"/>
      <w:r>
        <w:rPr>
          <w:rFonts w:ascii="Times New Roman;Times;Serif" w:hAnsi="Times New Roman;Times;Serif"/>
          <w:b/>
          <w:i w:val="false"/>
          <w:caps/>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 Before making a decision to invest in our securities, you should carefully consider the risks in our most recent Annual Report on Form 20-F for the year ended December 31, 2025, as filed with the SEC on April 30, 2026, and the updates, if any, to those risk factors in our reports on Form 6-K incorporated by reference in this prospectus, together with all of the other information appearing or incorporated by reference in this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 See “Where You Can Find More Information” and “Incorporation by Reference” elsewhere in this prospectus.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USEOFPROCEEDS"/>
      <w:bookmarkEnd w:id="9"/>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prospectus supplement, we currently intend to use the net proceeds of any offering of securities for working capital and other general corporate purposes. Accordingly, we will have significant discretion in the use of any net proceeds. We may provide additional information on the use of the net proceeds from the sale of the offered securities in an applicable prospectus supplement relating to the offered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DIVIDENDPOLICY"/>
      <w:bookmarkEnd w:id="10"/>
      <w:r>
        <w:rPr>
          <w:rFonts w:ascii="Times New Roman;Times;Serif" w:hAnsi="Times New Roman;Times;Serif"/>
          <w:b/>
          <w:i w:val="false"/>
          <w:caps/>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 and do not anticipate paying any dividends in the foreseeable future. We currently intend to retain future earnings, if any, to finance operations and expand our business. Our Board has sole discretion whether to pay dividends. If our Board decides to pay dividends, the form, frequency and amount will depend upon our future operations and earnings, capital requirements and surplus, general financial condition, contractual restrictions and other factors that our directors may deem relevant.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CAPITALIZATION"/>
      <w:bookmarkEnd w:id="11"/>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include information about our capitalization and indebtedness in the prospectus and applicable prospectus supplements.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OFFERSTATISTICSANDEXPECTEDTIMETABLE"/>
      <w:bookmarkEnd w:id="12"/>
      <w:r>
        <w:rPr>
          <w:rFonts w:ascii="Times New Roman;Times;Serif" w:hAnsi="Times New Roman;Times;Serif"/>
          <w:b/>
          <w:i w:val="false"/>
          <w:caps w:val="false"/>
          <w:smallCaps w:val="false"/>
          <w:sz w:val="20"/>
        </w:rPr>
        <w:t xml:space="preserve">OFFER STATISTICS AND EXPECTED TIMETABLE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Class A Ordinary Shares, debt securities, warrants, rights, and units, in one or more offerings, with a total aggregate offering price of up to $300,000,000. The actual price per Class A Ordinary Share of the securities that we will offer pursuant hereto will depend on a number of factors that may be relevant as of the time of offer. See “Plan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THEOFFERANDLISTING"/>
      <w:bookmarkEnd w:id="13"/>
      <w:r>
        <w:rPr>
          <w:rFonts w:ascii="Times New Roman;Times;Serif" w:hAnsi="Times New Roman;Times;Serif"/>
          <w:b/>
          <w:i w:val="false"/>
          <w:caps w:val="false"/>
          <w:smallCaps w:val="false"/>
          <w:sz w:val="20"/>
        </w:rPr>
        <w:t>THE OFFER AND LISTING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and IPO Warrants are currently traded on the Nasdaq Capital Market under the symbol “SAI” and “SAITW” respectively. The Class A Ordinary Shares and IPO Warrants began trading on Nasdaq on May 2, 2022.</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DESCRIPTIONOFSECURITIES"/>
      <w:bookmarkEnd w:id="14"/>
      <w:r>
        <w:rPr>
          <w:rFonts w:ascii="Times New Roman;Times;Serif" w:hAnsi="Times New Roman;Times;Serif"/>
          <w:b/>
          <w:i w:val="false"/>
          <w:caps w:val="false"/>
          <w:smallCaps w:val="false"/>
          <w:sz w:val="20"/>
        </w:rPr>
        <w:t>DESCRIPTION OF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Class A Ordinary Shares, debt, warrants to purchase Class A Ordinary Shares, rights and units comprising any combination of these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refer to the Class A Ordinary Shares, debt, warrants to purchase Class A Ordinary Shares, rights and units that may be offered by us collectively as “securities.” The total dollar amount of all securities that we may issue under this prospectus will not exceed $300,000,000. The actual price per share of the shares that we will offer, or per security of the securities that we will offer, pursuant hereto will depend on a number of factors that may be relevant as of the time of offer.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a sale of securities unless it is accompanied by a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DESCRIPTIONOFORDINARYSHARES"/>
      <w:bookmarkEnd w:id="15"/>
      <w:r>
        <w:rPr>
          <w:rFonts w:ascii="Times New Roman;Times;Serif" w:hAnsi="Times New Roman;Times;Serif"/>
          <w:b/>
          <w:i w:val="false"/>
          <w:caps/>
          <w:sz w:val="20"/>
        </w:rPr>
        <w:t>DESCRIPTION OF ORDINARY SHARES, IPO WARRANTS, AND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laws of the Cayman Islands and our affairs are governed by our memorandum and articles, as amended and restated from time to time, the Companies Act, the common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 authorized share capital of the Company is $35,000 divided into 22,024,624 class A ordinary shares of a par value of $0.0015 each, 642,043 convertible class B ordinary shares of a par value of $0.0015 each, and 666,666 preference shares of a par value of $0.0015 each. As of the date hereof, there are 1,190,317 Class A Ordinary Shares and 620,043 Class B Ordinary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the Amended and Restated Memorandum and Articles of Association and the Companies Act, insofar as they relate to the material terms of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and Class B Ordinary Shares generally have the same rights except for voting, conversion and director appointment and removal rights. SAI maintains a register of its shareholders and a shareholder is only entitled to a share certificate if the Board resolves that share certificates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Ma controls the voting power of all of the outstanding Class B Ordinary Shares. Although Mr. Ma controls the voting power of all of the outstanding Class B Ordinary Shares, his control over those shares is not permanent and is subject to reduction or elimination at any time or after certain periods as a result of a variety of factors. As further described below, upon any transfer of Class B Ordinary Shares by a holder thereof to any person which is not a permitted transferee under the Amended and Restated Memorandum and Articles of Association, those Class B Ordinary Shares will automatically and immediately convert into Class A Ordinary Shares. In addition, all Class B Ordinary Shares will automatically convert to Class A Ordinary Shares in certain other circumstances described below in “- </w:t>
      </w:r>
      <w:r>
        <w:rPr>
          <w:rFonts w:ascii="Times New Roman;Times;Serif" w:hAnsi="Times New Roman;Times;Serif"/>
          <w:b w:val="false"/>
          <w:i/>
          <w:caps w:val="false"/>
          <w:smallCaps w:val="false"/>
          <w:sz w:val="20"/>
        </w:rPr>
        <w:t>Optional and Automatic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Ordinary Shares are entitled to such dividends as may be declared by the Board as it may, in its discretion, lawfully declare from time to time. Class A Ordinary Shares and Class B Ordinary Shares rank equally as to dividends and other distributions. Under Cayman Islands law, a Cayman Islands company may pay a dividend either out of profit or share premium account, provided that in no circumstances may a dividend be paid if the dividend payment would result in the company being unable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shall be entitled to one (1) vote on all matters subject to a vote of shareholders, and each Class B Ordinary Share shall be entitled to ten (10) votes on all matters subject to a vote of shareholders. A resolution put to the vote of the meeting shall be decided on a poll.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and Class B Ordinary Shares shall at all times vote together on all matters, except that we will not, without the approval of holders of a majority of the voting power of the Class B Ordinary Shares, voting exclusively and as a separate class:</w:t>
      </w:r>
    </w:p>
    <w:p>
      <w:pPr>
        <w:pStyle w:val="TextBody"/>
        <w:bidi w:val="0"/>
        <w:spacing w:before="0" w:after="0"/>
        <w:ind w:left="960" w:right="0" w:hanging="48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the number of authorized Class B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any Class B Ordinary Shares or securities convertible into or exchangeable for Class B Ordinary Shares, other than to To Ma or his affiliates;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create, authorize, issue, or reclassify into, any preference shares in the capital of SAI or any shares in the capital of SAI that carry more than one vote per share;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reclassify any Class B Ordinary Shares into any other class of shares or consolidate or combine any Class B Ordinary Shares without proportionately increasing the number of votes per Class B Ordinary Share;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 restate, waive, adopt any provision inconsistent with or otherwise alter any provision of the Amended and Restated Memorandum and Articles of Association relating to the voting, conversion or other rights, powers, preferences, privileges or restrictions of the Class B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by the shareholders will require a simple majority of votes cast, including by all holders of a specific class of shares, if applicable, while a special resolution will require not less than two-thirds of votes 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Optional and Automatic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is convertible into one Class A Ordinary Share at any time at the option of the holder thereof. Class A Ordinary Shares are not convertible into Class B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transfer of Class B Ordinary Shares by a holder thereof to any person which is not a permitted transferee of such holder under the Amended and Restated Memorandum and Articles of Association, each such Class B Ordinary Share will automatically and immediately convert into one Class A Ordinary Share. In case of any transfer of Class B Ordinary Shares to a person who at any later time ceases to be a permitted transferee under the Amended and Restated Memorandum and Articles of Association, we may refuse registration of any subsequent transfer except back to the transferor of such Class B Ordinary Shares, and otherwise, such Class B Ordinary Shares will automatically and immediately convert into an equal number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will automatically convert into one Class A Ordinary Share (as adjusted for share splits, share combinations and similar transactions) on the first anniversary of the death or incapacity of the ultimate beneficial owner of the Class B Ordinary Shares, which is Mr. Ma as of the date of this registration statement.</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9 </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including securities laws, and the restrictions contained in the Amended and Restated Memorandum and Articles of Association and to any lock-up agreements to which a shareholder may be a party, any shareholders may transfer all or any of their Class A Ordinary Shares by an instrument of transfer in the usual or common form or any other form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may be transferred only to a permitted transferee under the Amended and Restated Memorandum and Articles of Association and any Class B Ordinary Shares otherwise will be converted into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Class A Ordinary Shares in question were issued in conjunction with rights, options, warrants or units issued pursuant to the Amended and Restated Memorandum and Articles of Association on terms that one cannot be transferred without the other, the Board will refuse to register the transfer of any such Class A Ordinary Shares without evidence satisfactory to them of the like transfer of such right, option, warrant or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and Class B Ordinary Shares rank equally upon occurrence of any liquidation or winding up, in the event of which our assets will be distributed to, or the losses will be borne by, shareholders in proportion to the par value of the shares held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we may issue shares that are to be redeemed or are liable to be redeemed at the option of the shareholder. The redemption of such shares will be effected in such manner and upon such other terms as we may, by special resolution, determine before the issue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Variations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provisions of the Amended and Restated Memorandum and Articles of Association governing the Class B Ordinary Shares, if at any time our share capital is divided into different classes of shares, all or any of the rights attached to any class (unless otherwise provided by the terms of issue of the shares of that class) may be varied without the consent of the holders of the issued shares of that class where such variation is considered by the directors not to have a material adverse effect upon such rights. Otherwise, any such variation will be made only with the consent in writing of the holders of not less than two-thirds of the issued shares of that class, or with the approval of a resolution passed by a majority of not less than two-thirds of the votes cast at a separate meeting of the holders of the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an annual general meeting at such time and place as our Board appoints. At least five clear days’ notice shall be given for any general meeting. The Board, the chief executive officer or the chairman may call general meetings. No business shall be transacted at any general meeting unless a quorum of shareholders is present. A general meeting is duly constituted if, at the commencement of the meeting, there are present in person, through their authorised representative or by proxy two shareholders entitled to vote on shareholders resolution to be considered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(save for the memorandum and articles of association, register of mortgages and charges, and the special resolutions passed by shareholders) or to obtain copies of the register of members of these companies. Under Cayman Islands law, the names of current directors of our Company can be obtained from a search conducted at the Registrar of Companies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determine whether, to what extent, at what times and places and under what conditions or regulations our accounts and books will be open to the inspection of our shareholders, and no shareholder (not being a director) will otherwise have any right of inspecting any account or book or document except as required by the Companies Act or authorized by shareholders in a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by ordinary resolution, subject to the rights of holders of Class B Ordinary Shares: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the share capital by such sum, to be divided into shares of such classes and amount, as the resolution will prescribe;</w:t>
            </w:r>
          </w:p>
        </w:tc>
      </w:tr>
    </w:tbl>
    <w:p>
      <w:pPr>
        <w:pStyle w:val="TextBody"/>
        <w:bidi w:val="0"/>
        <w:spacing w:before="0" w:after="0"/>
        <w:ind w:left="960" w:right="0" w:hanging="48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share capital into shares of a larger amount than existing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its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any shares that at the date of the passing of the resolution have not been taken or agreed to be taken by any person and diminish the amount of its share capital by the amount of the shares so cancelled.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Class B Ordinary Shares, we may by special resolution reduce its share capital or any capital redemption reserve fund in any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Cayman Islands.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does not have to file an annual return of its shareholders with the Registrar of Companies of the Cayman Islands;</w:t>
            </w:r>
          </w:p>
        </w:tc>
      </w:tr>
    </w:tbl>
    <w:p>
      <w:pPr>
        <w:pStyle w:val="TextBody"/>
        <w:bidi w:val="0"/>
        <w:spacing w:before="0" w:after="0"/>
        <w:ind w:left="960" w:right="0" w:hanging="48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company’s register of members is not open to inspection;</w:t>
            </w:r>
          </w:p>
        </w:tc>
      </w:tr>
    </w:tbl>
    <w:p>
      <w:pPr>
        <w:pStyle w:val="TextBody"/>
        <w:bidi w:val="0"/>
        <w:spacing w:before="0" w:after="0"/>
        <w:ind w:left="960" w:right="0" w:hanging="48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does not have to hold an annual general meeting;</w:t>
            </w:r>
          </w:p>
        </w:tc>
      </w:tr>
    </w:tbl>
    <w:p>
      <w:pPr>
        <w:pStyle w:val="TextBody"/>
        <w:bidi w:val="0"/>
        <w:spacing w:before="0" w:after="0"/>
        <w:ind w:left="960" w:right="0" w:hanging="48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may issue no par value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may obtain an undertaking against the imposition of any future taxation (such undertakings are usually given for 20 years in the first instance);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may register by way of continuation in another jurisdiction and be deregistered in the Cayman Islands;</w:t>
            </w:r>
          </w:p>
        </w:tc>
      </w:tr>
    </w:tbl>
    <w:p>
      <w:pPr>
        <w:pStyle w:val="TextBody"/>
        <w:bidi w:val="0"/>
        <w:spacing w:before="0" w:after="0"/>
        <w:ind w:left="960" w:right="0" w:hanging="48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may register as a limited duration company; and</w:t>
            </w:r>
          </w:p>
        </w:tc>
      </w:tr>
    </w:tbl>
    <w:p>
      <w:pPr>
        <w:pStyle w:val="TextBody"/>
        <w:bidi w:val="0"/>
        <w:spacing w:before="0" w:after="0"/>
        <w:ind w:left="960" w:right="0" w:hanging="480"/>
        <w:jc w:val="both"/>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70"/>
        <w:gridCol w:w="5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exempted company 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Memorandum and Articles of Association authorize 666,666 preference shares and provide that preference shares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Our Board is able to, without approval of holders of Class A Ordinary Shares, issue preference shares with voting and other rights that could adversely affect the voting power and other rights of the holders of the Ordinary Shares and could have anti-takeover effects. The ability of the Board to issue preference shares without shareholder approval could have the effect of delaying, deferring or preventing a change of control of SAI or the removal of existing management. Although it is not expected that we will issue any preference shares, we cannot assure you that it will not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also a description of the IPO Warrants that are currently issued and outstanding. These are the same warrants issued and outstanding in connection with the TradeUP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IPO Warrant entitles the registered holder to purchase one Class A Ordinary Share at a price of $11.50 per share, subject to adjustment as discussed below, at any time commencing on the later of one year from the closing of the TradeUP IPO and 30 days after April 29, 2022, except as discussed in the immediately succeeding paragraph. Pursuant to the warrant agreement, a warrant holder may exercise its IPO Warrants only for a whole number of Class A Ordinary Shares. This means only a whole IPO Warrant may be exercised at a given time by a warrant holder. No fractional IPO Warrants will be issued upon separation of the Units and only whole IPO Warrants will trade. The IPO Warrants will expire five years after the completion of the Business Combination, at 5:00 p.m., New York City time,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deliver any Class A Ordinary Shares pursuant to the exercise of an IPO Warrant and have no obligation to settle such IPO Warrant exercise unless a registration statement under the Securities Act with respect to the Class A Ordinary Shares underlying the IPO Warrants is then effective and a prospectus relating thereto is current, subject to us satisfying our obligations described below with respect to registration, or a valid exemption from registration is available. No IPO Warrant will be exercisable and we will not be obligated to issue a Class A Ordinary Share upon exercise of an IPO Warrant unless the Class A Ordinary Share issuable upon such IPO Warrant exercise has been registered, qualified or deemed to be exempt under the securities laws of the state of residence of the registered holder of the IPO Warrants. In the event that the conditions in the two immediately preceding sentences are not satisfied with respect to an IPO Warrant, the holder of such IPO Warrant will not be entitled to exercise such IPO Warrant and such IPO Warrant may have no value and expire worthless. In no event will we be required to net cash settle any IPO Warrant. In the event that a registration statement is not effective for the exercised IPO Warrants, the purchaser of a Unit containing such IPO Warrant will have paid the full purchase price for the unit solely for the Class A Ordinary Share underlying such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maintain the effectiveness of a registration statement for the registration under the Securities Act, of the Class A Ordinary Shares issuable upon exercise of the IPO Warrants and a current prospectus relating to those Class A Ordinary Shares until the IPO Warrants expire or are redeemed, as specified in the warrant agreement;; provided that if Class A Ordinary Shares are at the time of any exercise of an IPO Warrant not listed on a national securities exchange such that they satisfy the definition of a “covered security” under Section 18(b) (1) of the Securities Act, we may, at our option, require holders of IPO Warrants who exercise their IPO Warrants to do so on a “cashless basis” in accordance with Section 3(a)(9) of the Securities Act and, in the event we so elect, it will not be required to file or maintain in effect a registration statement, but will use our commercially reasonable efforts to register or qualify the shares under applicable blue sky laws to the extent an exemption is not available. If a registration statement covering the Class A Ordinary Shares issuable upon exercise of the IPO Warrants is not effective by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closing of the Business Combination, warrant holders may, until such time as there is an effective registration statement and during any period when we will have failed to maintain an effective registration statement, exercise IPO Warrants on a “cashless basis” in accordance with Section 3(a)(9) of the Securities Act or another exemption, but we will use commercially reasonable efforts to register or qualify the shares under applicable blue sky laws to the extent an exemption is not available. In such event, each holder would pay the exercise price by surrendering the IPO Warrants for that number of Class A Ordinary Shares equal to the lesser of (A) the quotient obtained by dividing (x) the product of the number of Class A Ordinary Shares underlying the IPO Warrants, multiplied by the excess of the “Fair Market Value” (defined below) less the exercise price of the IPO Warrants by (y) the Fair Market Value and (B) 0.361. The “Fair Market Value” as used in this paragraph shall mean the volume weighted average price of the Class A Ordinary Shares for the 10 trading days ending on the trading day prior to the date on which the notice of exercise is received by the warrant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IPO Warrants when the price per Class A Ordinary Share equals or exceeds $16.50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IPO Warrants become exercisable, we may redeem the outstanding IPO Warrants:</w:t>
      </w:r>
    </w:p>
    <w:p>
      <w:pPr>
        <w:pStyle w:val="TextBody"/>
        <w:bidi w:val="0"/>
        <w:spacing w:before="0" w:after="0"/>
        <w:ind w:left="960" w:right="0" w:hanging="48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960" w:right="0" w:hanging="48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price of $0.01 per IPO Warrant;</w:t>
            </w:r>
          </w:p>
        </w:tc>
      </w:tr>
    </w:tbl>
    <w:p>
      <w:pPr>
        <w:pStyle w:val="TextBody"/>
        <w:bidi w:val="0"/>
        <w:spacing w:before="0" w:after="0"/>
        <w:ind w:left="960" w:right="0" w:hanging="48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a minimum of 30 days’ prior written notice of redemption to each warrant holder;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and only if, the closing price of the Class A Ordinary Shares equals or exceeds $16.50 per share (including adjustments to the number of shares issuable upon exercise or the exercise price of an IPO Warrant as described under the heading ” </w:t>
            </w:r>
            <w:r>
              <w:rPr>
                <w:rFonts w:ascii="Times New Roman;Times;Serif" w:hAnsi="Times New Roman;Times;Serif"/>
                <w:i/>
                <w:sz w:val="20"/>
              </w:rPr>
              <w:t>- Anti-Dilution Adjustments</w:t>
            </w:r>
            <w:r>
              <w:rPr>
                <w:rFonts w:ascii="Times New Roman;Times;Serif" w:hAnsi="Times New Roman;Times;Serif"/>
                <w:sz w:val="20"/>
              </w:rPr>
              <w:t>”) for any 20 trading days within a 30-trading day period ending three trading days before we send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redeem the IPO Warrants as described above unless a registration statement under the Securities Act covering the issuance of the Class A Ordinary Shares issuable upon exercise of the IPO Warrants is then effective and a current prospectus relating to those Class A Ordinary Shares is available throughout the 30-day redemption period. If and when the IPO Warrants become redeemable, we may exercise our redemption rights even if we are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IPO Warrants, each warrant holder will be entitled to exercise his, her or its IPO Warrant prior to the scheduled redemption date. However, the price of the Class A Ordinary Shares may fall below the $16.50 redemption trigger price (including adjustments to the number of shares issuable upon exercise or the exercise price of an IPO Warrant as described under the heading “</w:t>
      </w:r>
      <w:r>
        <w:rPr>
          <w:rFonts w:ascii="Times New Roman;Times;Serif" w:hAnsi="Times New Roman;Times;Serif"/>
          <w:b w:val="false"/>
          <w:i/>
          <w:caps w:val="false"/>
          <w:smallCaps w:val="false"/>
          <w:sz w:val="20"/>
        </w:rPr>
        <w:t>- Anti-dilution Adjustments</w:t>
      </w:r>
      <w:r>
        <w:rPr>
          <w:rFonts w:ascii="Times New Roman;Times;Serif" w:hAnsi="Times New Roman;Times;Serif"/>
          <w:b w:val="false"/>
          <w:i w:val="false"/>
          <w:caps w:val="false"/>
          <w:smallCaps w:val="false"/>
          <w:sz w:val="20"/>
        </w:rPr>
        <w:t>”) as well as the $11.50 (for whole shares)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IPO Warrants are exercisable for a security other than the Class A Ordinary Shares pursuant to the warrant agreement, the IPO Warrants may be exercised for such security. At such time as the IPO Warrants become exercisable for a security other than the Class A Ordinary Shares, we will use our commercially reasonable efforts to register under the Securities Act the security issuable upon the exercise of the IPO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an IPO Warrant may notify us in writing in the event it elects to be subject to a requirement that such holder will not have the right to exercise such IPO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Class A Ordinary Shares is increased by a capitalization or share dividend paid in Class A Ordinary Shares to all or substantially all holders of Class A Ordinary Shares, or by a split-up of Class A Ordinary Shares or other similar event, then, on the effective date of such capitalization or share dividend, split-up or similar event, the number of Class A Ordinary Shares issuable on exercise of each IPO Warrant will be increased in proportion to such increase in the outstanding Class A Ordinary Shares. A rights offering made to all or substantially all holders of Ordinary Shares entitling holders to purchase Class A Ordinary Shares at a price less than the “historical fair market value” (as defined below)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IPO Warrants are outstanding and unexpired, pay a dividend or make a distribution in cash, securities or other assets to all or substantially all of the holders of Class A Ordinary Shares on account of such Class A Ordinary Shares (or other securities into which the IPO Warrants are then convertible), other than (1) as described above, (2)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IPO Warrant) but only with respect to the amount of the aggregate cash dividends or cash distributions equal to or less than $0.50 per share, (3) to satisfy the redemption rights of the holders of Class A Ordinary Shares in connection with a proposed initial business combination, (4) to satisfy the redemption rights of the holders of Class A Ordinary Shares in connection with a shareholder vote to approve an amendment to the memorandum and articles of association that would affect the substance or timing of its obligation to provide for the redemption of public shares in connection with an initial business combination or to redeem 100% of our public shares if it has not consummated an initial business combination within 18 months from the closing of this offering, or (5) in connection with the redemption of public shares upon failure to complete an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IPO Warrant will be decreased in proportion to such decrease in outstanding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Class A Ordinary Shares purchasable upon the exercise of the IPO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IPO Warrants immediately prior to such adjustment and (y) the denominator of which will be the number of Class A Ordinary Shares so purchasable immediately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registered holders of the IPO Warrants will thereafter have the right to purchase and receive, upon the basis and upon the terms and conditions specified in the IPO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IPO Warrants would have received if such holder had exercised their IPO Warrants immediately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IPO Warrants were issued in registered form under a warrant agreement between VStock Transfer, LLC, as warrant agent, and TradeUP. The warrant agreement provides that the terms of the IPO Warrants may be amended without the consent of any holder for the purpose of: (1) curing any ambiguity or correct any mistake, including to conform the provisions of the warrant agreement to the description of the terms of the IPO Warrants and the warrant agreement set forth in this registration statement, or defective provision; (2) amending the provisions relating to cash dividends on Ordinary Shares as contemplated by and in accordance with the warrant agreement; or (3) adding or changing any provisions with respect to matters or questions arising under the warrant agreement as the parties to the warrant agreement may deem necessary or desirable and that the parties deem to not adversely affect the rights of the registered holders of the IPO Warrants. You should review a copy of the warrant agreement, which was filed as an exhibit to the registration statement for the TradeUP IPO for a complete description of the terms and conditions applicable to the IPO Warrants and is filed as an exhibit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holders do not have the rights or privileges of holders of Class A Ordinary Shares and any voting rights until they exercise their IPO Warrants and receive Class A Ordinary Shares. After the issuance of Class A Ordinary Shares upon exercise of the IPO Warrants, each holder will be entitled to one vote for each share held of record on all matters to be voted on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Civil Liability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Harney Westwood &amp; Riegels that although there is no statutory enforcement in the Cayman Islands of judgments obtained in the federal or state courts of the United States (and the Cayman Islands are not a party to any treaties for the reciprocal enforcement or recognition of such judgments), the Grand Court of the Cayman Islands will at common law enforce final and conclusive in personam judgments of state and/or federal courts of the United States of America, or the “Foreign Court”, of a debt or definite sum of money against the Company (other than a sum of money payable in respect of taxes or other charges of a like nature, a fine or other penalty (which may include a multiple damages judgment in an anti-trust action) or where enforcement would be contrary to public policy). The Grand Court of the Cayman Islands may also at common law enforce final and conclusive in personam judgments of the Foreign Court that are non-monetary against the Company, for example, declaratory judgments ruling upon the true legal owner of shares in a Cayman Islands company. The Grand Court of the Cayman Islands will exercise its discretion in the enforcement of non-money judgments by having regard to the circumstances, such as considering whether the principles of comity apply. To be treated as final and conclusive, any relevant judgment must be regarded as res judicata by the Foreign Court. A debt claim on a foreign judgment must be brought within six years of the date of the judgment, and arrears of interest on a judgment debt cannot be recovered after six years from the date on which the interest was due. The courts of the Cayman Islands are unlikely to enforce a judgment obtained from the Foreign Court under civil liability provisions of U.S. federal securities law if such a judgment is found by the courts of the Cayman Islands to give rise to obligations to make payments that are penal or punitive in nature. Such a determination has not yet been made by the Grand Court of the Cayman Islands. A court of the Cayman Islands may stay enforcement proceedings if concurrent proceedings are being brought elsewhere. A judgment entered in default of appearance by a defendant who has had notice of the Foreign Court’s intention to proceed may be final and conclusive notwithstanding that the Foreign Court has power to set aside its own judgment and despite the fact that it may be subject to an appeal the time-limit for which has not yet expired. The Grand Court of the Cayman Islands may safeguard the defendant’s rights by granting a stay of execution pending any such appeal and may also grant interim injunctive relief as appropriate for the purpose of enforcement.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(Revised) of the Cayman Islands if the disclosure relates to criminal conduct or money laundering, or (ii) a police officer of the rank of constable or higher, or the Financial Reporting Authority, pursuant to the Terrorism Act (Revised)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DESCRIPTIONOFWARRANTS"/>
      <w:bookmarkEnd w:id="16"/>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description of warrants, and any description of warrants in the applicable prospectus supplement, does not purport to be complete and is subject to, and qualified in its entirety by reference to, the provisions of the warrant agreement and warrant certificate that will be filed with the SEC in connection with the offering of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Class A Ordinary Shares, preference shares or debt securities of us. Warrants may be issued independently or together with any other securities and may be attached to, or separate from, such securities. Each series of warrants will be issued under a separate warrant agreement to be entered into between us and a warrant agent that will be named in the applicable prospectus supplement.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any warrants in respect of which this prospectus is being delivered:</w:t>
      </w:r>
    </w:p>
    <w:p>
      <w:pPr>
        <w:pStyle w:val="TextBody"/>
        <w:bidi w:val="0"/>
        <w:spacing w:before="0" w:after="0"/>
        <w:ind w:left="960" w:right="0" w:hanging="48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such warrants;</w:t>
            </w:r>
          </w:p>
        </w:tc>
      </w:tr>
    </w:tbl>
    <w:p>
      <w:pPr>
        <w:pStyle w:val="TextBody"/>
        <w:bidi w:val="0"/>
        <w:spacing w:before="0" w:after="0"/>
        <w:ind w:left="960" w:right="0" w:hanging="48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the warrants offered;</w:t>
            </w:r>
          </w:p>
        </w:tc>
      </w:tr>
    </w:tbl>
    <w:p>
      <w:pPr>
        <w:pStyle w:val="TextBody"/>
        <w:bidi w:val="0"/>
        <w:spacing w:before="0" w:after="0"/>
        <w:ind w:left="960" w:right="0" w:hanging="48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warrants will be issued and exercised;</w:t>
            </w:r>
          </w:p>
        </w:tc>
      </w:tr>
    </w:tbl>
    <w:p>
      <w:pPr>
        <w:pStyle w:val="TextBody"/>
        <w:bidi w:val="0"/>
        <w:spacing w:before="0" w:after="0"/>
        <w:ind w:left="960" w:right="0" w:hanging="48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in which the price of such warrants will be payable;</w:t>
            </w:r>
          </w:p>
        </w:tc>
      </w:tr>
    </w:tbl>
    <w:p>
      <w:pPr>
        <w:pStyle w:val="TextBody"/>
        <w:bidi w:val="0"/>
        <w:spacing w:before="0" w:after="0"/>
        <w:ind w:left="960" w:right="0" w:hanging="48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purchasable upon exercise of such warrants;</w:t>
            </w:r>
          </w:p>
        </w:tc>
      </w:tr>
    </w:tbl>
    <w:p>
      <w:pPr>
        <w:pStyle w:val="TextBody"/>
        <w:bidi w:val="0"/>
        <w:spacing w:before="0" w:after="0"/>
        <w:ind w:left="960" w:right="0" w:hanging="480"/>
        <w:jc w:val="both"/>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170"/>
        <w:gridCol w:w="9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such warrants shall commence and the date on which such right shall expire;</w:t>
            </w:r>
          </w:p>
        </w:tc>
      </w:tr>
    </w:tbl>
    <w:p>
      <w:pPr>
        <w:pStyle w:val="TextBody"/>
        <w:bidi w:val="0"/>
        <w:spacing w:before="0" w:after="0"/>
        <w:ind w:left="960" w:right="0" w:hanging="48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such warrants which may be exercised at any one time;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securities with which such warrants are issued, and the number of such warrants issued with each such security;</w:t>
            </w:r>
          </w:p>
        </w:tc>
      </w:tr>
    </w:tbl>
    <w:p>
      <w:pPr>
        <w:pStyle w:val="TextBody"/>
        <w:bidi w:val="0"/>
        <w:spacing w:before="0" w:after="0"/>
        <w:ind w:left="960" w:right="0" w:hanging="48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such warrants and the related securities will be separately transferable;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warrants are issued as a unit with another security, the date on and after which the warrants and the other security will be separately transferable;</w:t>
            </w:r>
          </w:p>
        </w:tc>
      </w:tr>
    </w:tbl>
    <w:p>
      <w:pPr>
        <w:pStyle w:val="TextBody"/>
        <w:bidi w:val="0"/>
        <w:spacing w:before="0" w:after="0"/>
        <w:ind w:left="960" w:right="0" w:hanging="48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w:t>
            </w:r>
          </w:p>
        </w:tc>
      </w:tr>
    </w:tbl>
    <w:p>
      <w:pPr>
        <w:pStyle w:val="TextBody"/>
        <w:bidi w:val="0"/>
        <w:spacing w:before="0" w:after="0"/>
        <w:ind w:left="960" w:right="0" w:hanging="48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170"/>
        <w:gridCol w:w="7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any material Cayman Islands or United States federal income tax consequences;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any merger, consolidation, sale or other disposition of our business on the warrant agreement and the warrants;</w:t>
            </w:r>
          </w:p>
        </w:tc>
      </w:tr>
    </w:tbl>
    <w:p>
      <w:pPr>
        <w:pStyle w:val="TextBody"/>
        <w:bidi w:val="0"/>
        <w:spacing w:before="0" w:after="0"/>
        <w:ind w:left="960" w:right="0" w:hanging="48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anti-dilution provisions of the warrants, if any;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such warrants, including terms, procedures and limitations relating to the transferability, adjustment, modification, redemption, exchange, and exercise of the warrants, if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debt securities, the right to receive payments of principal of, or premium, if any, or interest on, the debt securities purchasable upon exercise or to enforce covenants in the applicable indenture;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ordinary shares or preference shares, the right to receive dividends, if any, or, payments upon our liquidation, dissolution or winding up or to exercise voting rights,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DESCRIPTIONOFDEBTSECURITIES"/>
      <w:bookmarkEnd w:id="17"/>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series of debt securities, which may include debt securities exchangeable for or convertible into ordinary shares or preference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“Indenture”). The summary is not complete. The form of the Indenture has been filed as an exhibit to the registration statement on Form F-3, of which this prospectus is a part, and you should read the Indenture for provisions that may be important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and detailed or determined in the manner provided in a Board resolution, an officers’ certificate and by a supplemental indenture. The particular terms of each series of debt securities will be described in a prospectus supplement relating to the series, including any pricing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initial offering price, the aggregate principal amount offered and the terms of the debt securities, including, among other things, the following:</w:t>
      </w:r>
    </w:p>
    <w:p>
      <w:pPr>
        <w:pStyle w:val="TextBody"/>
        <w:bidi w:val="0"/>
        <w:spacing w:before="0" w:after="0"/>
        <w:ind w:left="960" w:right="0" w:hanging="48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(expressed as a percentage of the aggregate principal amount) at which we will sell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aggregate principal amount of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on which we will repay the principal on the debt securities and the right, if any, to extend the maturity of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rate or rates (which may be fixed or variable) per annum or the method used to determine the rate or rates (including any commodity, commodity index, stock exchange index or financial index) at which the debt securities will bear interest, if any, the date or dates from which interest, if any, will accrue, the date or dates on which interest, if any, shall commerce and will be payable and any regular record date for any interest payment date;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or places where the principal of, premium, and interest, if any, on the debt securities will be payable, and where the debt securities of the series that are convertible or exchangeable may be surrendered for conversion or exchange;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tc>
      </w:tr>
    </w:tbl>
    <w:p>
      <w:pPr>
        <w:pStyle w:val="TextBody"/>
        <w:bidi w:val="0"/>
        <w:spacing w:before="0" w:after="0"/>
        <w:ind w:left="960" w:right="0" w:hanging="48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denominations in which the debt securities will be issued;</w:t>
            </w:r>
          </w:p>
        </w:tc>
      </w:tr>
    </w:tbl>
    <w:p>
      <w:pPr>
        <w:pStyle w:val="TextBody"/>
        <w:bidi w:val="0"/>
        <w:spacing w:before="0" w:after="0"/>
        <w:ind w:left="960" w:right="0" w:hanging="48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75"/>
        <w:gridCol w:w="170"/>
        <w:gridCol w:w="8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will be issued in the form of certificated debt securities or global debt securities;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principal amount of the debt securities payable upon declaration of acceleration of the maturity date, if other than the principal amount;</w:t>
            </w:r>
          </w:p>
        </w:tc>
      </w:tr>
    </w:tbl>
    <w:p>
      <w:pPr>
        <w:pStyle w:val="TextBody"/>
        <w:bidi w:val="0"/>
        <w:spacing w:before="0" w:after="0"/>
        <w:ind w:left="960" w:right="0" w:hanging="48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of denomination of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of the currency, currencies or currency units in which payment of principal of, premium and interest on the debt securities will be made;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payments of principal of, premium or interest, if any,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manner in which the amounts of payment of principal of, premium or interest, if any,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tc>
      </w:tr>
    </w:tbl>
    <w:p>
      <w:pPr>
        <w:pStyle w:val="TextBody"/>
        <w:bidi w:val="0"/>
        <w:spacing w:before="0" w:after="0"/>
        <w:ind w:left="960" w:right="0" w:hanging="48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relating to any security provided for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 to or change in the events of default described in the Indenture with respect to the debt securities and any change in the acceleration provisions described in the Indenture with respect to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 to or change in the covenants described in the Indenture with respect to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will be senior or subordinated and any applicable subordination provisions;</w:t>
            </w:r>
          </w:p>
        </w:tc>
      </w:tr>
    </w:tbl>
    <w:p>
      <w:pPr>
        <w:pStyle w:val="TextBody"/>
        <w:bidi w:val="0"/>
        <w:spacing w:before="0" w:after="0"/>
        <w:ind w:left="960" w:right="0" w:hanging="48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70"/>
        <w:gridCol w:w="68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material income tax considerations applicable to the debt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debt securities, which may modify any provisions of the Indenture as it applies to that series;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depositaries, interest rate calculation agents, exchange rate calculation agents or other agents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are exchangeable for and/or convertible into ordinary shares or preference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preference shares or other securities to be received by the holders of debt securities would be calculated.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Delaware, unless we otherwise specify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DESCRIPTIONOFRIGHTS"/>
      <w:bookmarkEnd w:id="18"/>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description of the rights, and any description of rights in the applicable prospectus supplement, does not purport to be complete and is subject to, and qualified in its entirety by reference to, the right agreement and provisions of the certificate evidencing the rights that will be filed with the SEC in connection with the offering of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Class A Ordinary Shares, preference shares or debt securities that we may offer to our securityholders. The rights may be issued independently or together with any other offered security.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a bank or trust company,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describe specific terms relating to the offering, including, among other matters:</w:t>
      </w:r>
    </w:p>
    <w:p>
      <w:pPr>
        <w:pStyle w:val="TextBody"/>
        <w:bidi w:val="0"/>
        <w:spacing w:before="0" w:after="0"/>
        <w:ind w:left="960" w:right="0" w:hanging="48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170"/>
        <w:gridCol w:w="1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rights;</w:t>
            </w:r>
          </w:p>
        </w:tc>
      </w:tr>
    </w:tbl>
    <w:p>
      <w:pPr>
        <w:pStyle w:val="TextBody"/>
        <w:bidi w:val="0"/>
        <w:spacing w:before="0" w:after="0"/>
        <w:ind w:left="960" w:right="0" w:hanging="48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securityholders entitled to the rights distribution;</w:t>
            </w:r>
          </w:p>
        </w:tc>
      </w:tr>
    </w:tbl>
    <w:p>
      <w:pPr>
        <w:pStyle w:val="TextBody"/>
        <w:bidi w:val="0"/>
        <w:spacing w:before="0" w:after="0"/>
        <w:ind w:left="960" w:right="0" w:hanging="48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for which the rights are exercisable;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number of shares of ordinary shares or preference shares, or aggregate principal amount of debt securities purchasable upon exercise of the rights;</w:t>
            </w:r>
          </w:p>
        </w:tc>
      </w:tr>
    </w:tbl>
    <w:p>
      <w:pPr>
        <w:pStyle w:val="TextBody"/>
        <w:bidi w:val="0"/>
        <w:spacing w:before="0" w:after="0"/>
        <w:ind w:left="960" w:right="0" w:hanging="48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bl>
    <w:p>
      <w:pPr>
        <w:pStyle w:val="TextBody"/>
        <w:bidi w:val="0"/>
        <w:spacing w:before="0" w:after="0"/>
        <w:ind w:left="960" w:right="0" w:hanging="48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w:t>
            </w:r>
          </w:p>
        </w:tc>
      </w:tr>
    </w:tbl>
    <w:p>
      <w:pPr>
        <w:pStyle w:val="TextBody"/>
        <w:bidi w:val="0"/>
        <w:spacing w:before="0" w:after="0"/>
        <w:ind w:left="960" w:right="0" w:hanging="48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the rights include an over-subscription privilege with respect to unsubscribed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the material Cayman Islands or United States federal income tax considerations applicable to the issuance or exercise of such rights;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material terms of any standby underwriting or other purchase arrangement that we may enter into in connection with the rights offering;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material terms of the rights, including terms, transferability, conditions to completion of the rights offering, procedures and limitation relating to the exchange and exercise of such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shares of ordinary shares, preference shares or debt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DESCRIPTIONOFUNITS"/>
      <w:bookmarkEnd w:id="19"/>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description of, and any description of units in the applicable prospectus supplement, does not purport to be complete and is subject to and is qualified in its entirety by reference to the unit agreement and, if applicable, collateral arrangements and depository arrangements relating to such units, as well as the provisions of the certificate evidencing the units that will be filed with the SEC in connection with the offering of the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or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describe: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960" w:right="0" w:hanging="48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the terms of any unit agreement governing the units;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 and</w:t>
            </w:r>
          </w:p>
        </w:tc>
      </w:tr>
    </w:tbl>
    <w:p>
      <w:pPr>
        <w:pStyle w:val="TextBody"/>
        <w:bidi w:val="0"/>
        <w:spacing w:before="0" w:after="0"/>
        <w:ind w:left="960" w:right="0" w:hanging="48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0" w:name="MATERIALTAXCONSIDERATIONS"/>
      <w:bookmarkEnd w:id="20"/>
      <w:r>
        <w:rPr>
          <w:rFonts w:ascii="Times New Roman;Times;Serif" w:hAnsi="Times New Roman;Times;Serif"/>
          <w:b/>
          <w:i w:val="false"/>
          <w:caps/>
          <w:sz w:val="20"/>
        </w:rPr>
        <w:t>MATERIAL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“Item 10. Additional Information — E. Taxation” in our annual report on Form 20-F for the year ended December 31, 2025, which is incorporated herein by reference, as updated by our subsequent filings under the Exchange Act and, if applicable, in any accompanying prospectus supplement or relevant free writing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 w:name="PLANOFDISTRIBUTION"/>
      <w:bookmarkEnd w:id="21"/>
      <w:r>
        <w:rPr>
          <w:rFonts w:ascii="Times New Roman;Times;Serif" w:hAnsi="Times New Roman;Times;Serif"/>
          <w:b/>
          <w:i w:val="false"/>
          <w:caps/>
          <w:sz w:val="20"/>
        </w:rPr>
        <w:t>PLAN OF DISTRIBUTION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in one or more of the following ways (or in any combination) from time to time:</w:t>
      </w:r>
    </w:p>
    <w:p>
      <w:pPr>
        <w:pStyle w:val="TextBody"/>
        <w:bidi w:val="0"/>
        <w:spacing w:before="0" w:after="0"/>
        <w:ind w:left="1080" w:right="0" w:hanging="36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75"/>
        <w:gridCol w:w="170"/>
        <w:gridCol w:w="26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through underwriters or dealers;</w:t>
            </w:r>
          </w:p>
        </w:tc>
      </w:tr>
    </w:tbl>
    <w:p>
      <w:pPr>
        <w:pStyle w:val="TextBody"/>
        <w:bidi w:val="0"/>
        <w:spacing w:before="0" w:after="0"/>
        <w:ind w:left="1080" w:right="0" w:hanging="36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directly to a limited number of purchasers or to a single purchaser;</w:t>
            </w:r>
          </w:p>
        </w:tc>
      </w:tr>
    </w:tbl>
    <w:p>
      <w:pPr>
        <w:pStyle w:val="TextBody"/>
        <w:bidi w:val="0"/>
        <w:spacing w:before="0" w:after="0"/>
        <w:ind w:left="1080" w:right="0" w:hanging="36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75"/>
        <w:gridCol w:w="170"/>
        <w:gridCol w:w="1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through agents; or</w:t>
            </w:r>
          </w:p>
        </w:tc>
      </w:tr>
    </w:tbl>
    <w:p>
      <w:pPr>
        <w:pStyle w:val="TextBody"/>
        <w:bidi w:val="0"/>
        <w:spacing w:before="0" w:after="0"/>
        <w:ind w:left="1080" w:right="0" w:hanging="36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through any other method permitted by applicable law and described in the applicable prospectus supplement.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our securities may be carried out, from time to time, in one or more transactions, including:</w:t>
      </w:r>
    </w:p>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block transactions and transactions on the Nasdaq Capital Market or any other organized market where the securities may be traded;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by a broker-dealer as principal and resale by the broker-dealer for its own account pursuant to a prospectus supplement;</w:t>
            </w:r>
          </w:p>
        </w:tc>
      </w:tr>
    </w:tbl>
    <w:p>
      <w:pPr>
        <w:pStyle w:val="TextBody"/>
        <w:bidi w:val="0"/>
        <w:spacing w:before="0" w:after="0"/>
        <w:ind w:left="1080" w:right="0" w:hanging="36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brokerage transactions and transactions in which a broker-dealer solicits purchasers;</w:t>
            </w:r>
          </w:p>
        </w:tc>
      </w:tr>
    </w:tbl>
    <w:p>
      <w:pPr>
        <w:pStyle w:val="TextBody"/>
        <w:bidi w:val="0"/>
        <w:spacing w:before="0" w:after="0"/>
        <w:ind w:left="1080" w:right="0" w:hanging="36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“at the market” to or through a market maker or into an existing trading market, on an exchange or otherwise; or</w:t>
            </w:r>
          </w:p>
        </w:tc>
      </w:tr>
    </w:tbl>
    <w:p>
      <w:pPr>
        <w:pStyle w:val="TextBody"/>
        <w:bidi w:val="0"/>
        <w:spacing w:before="0" w:after="0"/>
        <w:ind w:left="1080" w:right="0" w:hanging="36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170"/>
        <w:gridCol w:w="9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in other ways not involving market makers or established trading markets, including direct sales to purchasers.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before="0" w:after="0"/>
        <w:ind w:left="1080" w:right="0" w:hanging="36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170"/>
        <w:gridCol w:w="4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name or names of any underwriters, dealers or agents;</w:t>
            </w:r>
          </w:p>
        </w:tc>
      </w:tr>
    </w:tbl>
    <w:p>
      <w:pPr>
        <w:pStyle w:val="TextBody"/>
        <w:bidi w:val="0"/>
        <w:spacing w:before="0" w:after="0"/>
        <w:ind w:left="1080" w:right="0" w:hanging="36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170"/>
        <w:gridCol w:w="2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method of distribution;</w:t>
            </w:r>
          </w:p>
        </w:tc>
      </w:tr>
    </w:tbl>
    <w:p>
      <w:pPr>
        <w:pStyle w:val="TextBody"/>
        <w:bidi w:val="0"/>
        <w:spacing w:before="0" w:after="0"/>
        <w:ind w:left="1080" w:right="0" w:hanging="36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public offering price or purchase price and the proceeds to us from that sale;</w:t>
            </w:r>
          </w:p>
        </w:tc>
      </w:tr>
    </w:tbl>
    <w:p>
      <w:pPr>
        <w:pStyle w:val="TextBody"/>
        <w:bidi w:val="0"/>
        <w:spacing w:before="0" w:after="0"/>
        <w:ind w:left="1080" w:right="0" w:hanging="36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expenses of the offering;</w:t>
            </w:r>
          </w:p>
        </w:tc>
      </w:tr>
    </w:tbl>
    <w:p>
      <w:pPr>
        <w:pStyle w:val="TextBody"/>
        <w:bidi w:val="0"/>
        <w:spacing w:before="0" w:after="0"/>
        <w:ind w:left="1080" w:right="0" w:hanging="36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discounts or commissions to be allowed or paid to the underwriters, dealers or agents;</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items constituting underwriting compensation and the discounts and commissions to be allowed or paid to dealers, if any; and</w:t>
            </w:r>
          </w:p>
        </w:tc>
      </w:tr>
    </w:tbl>
    <w:p>
      <w:pPr>
        <w:pStyle w:val="TextBody"/>
        <w:bidi w:val="0"/>
        <w:spacing w:before="0" w:after="0"/>
        <w:ind w:left="1080" w:right="0" w:hanging="36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information regarding the distribution of the securities that we believe to be material.</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may offer and sell the securities at a fixed price or prices, which may be changed, or from time to time at market prices prevailing at the time of sale, at prices related to prevailing market prices or at negotiated prices. We may, from time to time, authorize agents acting on a best or reasonable efforts basis as our agents to solicit or receive offers to purchase the securities upon the terms and conditions as are set forth in the applicable prospectus supplement. In connection with the sale of securities, underwriters or agents may be deemed to have received compensation from us in the form of underwriting discounts or commissions and may also receive commissions from purchasers of securities for whom they may act as agent. Underwriters may sell securities to or through dealers, and dealers may receive compensation in the form of discounts, concessions or commissions from the underwriters and/or commissions from the purchasers for whom they may act as agent.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who participate in the distribution of securities and their controlling persons may be entitled, under agreements that may be entered into with us to indemnification by us against certain liabilities, including liabilities under the Securities Act, or to contribution with respect to payments that the underwriters, dealers or agents and their controlling persons may be required to make in respect of those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LEGALMATTERS"/>
      <w:bookmarkEnd w:id="22"/>
      <w:r>
        <w:rPr>
          <w:rFonts w:ascii="Times New Roman;Times;Serif" w:hAnsi="Times New Roman;Times;Serif"/>
          <w:b/>
          <w:i w:val="false"/>
          <w:caps/>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Morgan, Lewis &amp; Bockius with respect to legal matters of United States federal securities and New York State law. The validity of the ordinary shares represented by our Class A Ordinary Shares offered in this offering and certain legal matters as to Cayman Islands law will be passed upon for us by Harney Westwood &amp; Riegels. Morgan, Lewis &amp; Bockius may rely upon Harney Westwood &amp; Riegels with respect to matters governed by Cayman Islands law.</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3" w:name="EXPERTS"/>
      <w:bookmarkEnd w:id="23"/>
      <w:r>
        <w:rPr>
          <w:rFonts w:ascii="Times New Roman;Times;Serif" w:hAnsi="Times New Roman;Times;Serif"/>
          <w:b/>
          <w:i w:val="false"/>
          <w:caps/>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SAIHEAT Limited as of December 31, 2024, and for each of the years in the two-year period ended December 31, 2024 have been incorporated by reference herein in reliance upon the report of Audit Alliance LLP, independent registered public accounting firm, incorporated by reference herein, and upon the authority of said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offices of Audit Alliance LLP are located at No.10 Anson Road, #20-16, International Plaza, Singapore, Singapore 079903.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SAIHEAT Limited as of December 31, 2025, and for the fiscal year ended December 31, 2025 have been incorporated by reference herein in reliance upon the report of AssentSure PAC, independent registered public accounting firm, incorporated by reference herein, and upon the authority of said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offices of AssentSure PAC are located at 180B Bencoolen Street, #03-01 The Bencoolen, Singapore, Singapore 189648.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EXPENSESOFTHEISSUANCEANDDISTRIBUTION"/>
      <w:bookmarkEnd w:id="24"/>
      <w:r>
        <w:rPr>
          <w:rFonts w:ascii="Times New Roman;Times;Serif" w:hAnsi="Times New Roman;Times;Serif"/>
          <w:b/>
          <w:i w:val="false"/>
          <w:caps w:val="false"/>
          <w:smallCaps w:val="false"/>
          <w:sz w:val="20"/>
        </w:rPr>
        <w:t>EXPENSES OF THE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in connection with the sale and distribution of the securities being registered. We will bear all of the expenses shown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2900"/>
        <w:gridCol w:w="60"/>
        <w:gridCol w:w="140"/>
        <w:gridCol w:w="440"/>
        <w:gridCol w:w="275"/>
      </w:tblGrid>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FFFFFF" w:val="clear"/>
            <w:vAlign w:val="center"/>
          </w:tcPr>
          <w:p>
            <w:pPr>
              <w:pStyle w:val="TableContents"/>
              <w:bidi w:val="0"/>
              <w:spacing w:before="0" w:after="283"/>
              <w:jc w:val="left"/>
              <w:rPr>
                <w:sz w:val="4"/>
                <w:szCs w:val="4"/>
              </w:rPr>
            </w:pPr>
            <w:r>
              <w:rPr>
                <w:sz w:val="4"/>
                <w:szCs w:val="4"/>
              </w:rPr>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Pursuant to Rule 415(a)(6) under the Securities Act, the registration statement of which this prospectus forms a part includes $300,000,000 of securities that were previously registered, but were not sold, pursuant to the 2023 F-3. The registration fee with respect to such securities, totaling $33,060, was previously paid, and such registration fee will continue to be applied to the unsold securities. In accordance with Rule 415(a)(6), the offering of securities registered under the 2023 F-3 will be terminated as of the date of effectiveness of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be provided by a prospectus supplement or as an exhibit to a Report of Foreign Issuer on Form 6-K that is incorporated by reference into this registration statement. Estimated solely for this item. Actual expenses may vary.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ENFORCEABILITYOFCIVILLIABILITY"/>
      <w:bookmarkEnd w:id="25"/>
      <w:r>
        <w:rPr>
          <w:rFonts w:ascii="Times New Roman;Times;Serif" w:hAnsi="Times New Roman;Times;Serif"/>
          <w:b/>
          <w:i w:val="false"/>
          <w:caps/>
          <w:sz w:val="20"/>
        </w:rPr>
        <w:t>ENFORCEABILITY OF CIVIL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 is incorporated as an exempted company under the laws of the Cayman Islands. Service of process upon SAI and upon its directors and officers named in this prospectus, substantially all of whom reside outside the United States, may be difficult to obtain within the United States. Furthermore, because substantially all of SAI’s assets and substantially all of SAI’s directors and officers are located outside the United States, any judgment obtained in the United States against SAI or any of its directors and officers may not be collectible within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 has appointed Puglisi &amp; Associate as its agent to receive service of process in any action against SAI in any U.S. federal or state court arising out of the Transactions. The address of Puglisi &amp; Associate is 850 Library Avenue, Suite 204 Newark, DE 19711.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Harney Westwood &amp; Riegels, our legal counsel as to the laws of the Cayman Islands has advised us that there is uncertainty as to whether the courts of the Cayman Islands would (1) recognize or enforce judgments of U.S. courts obtained against us or our directors or officers that are predicated upon the civil liability provisions of the federal securities laws of the United States of America or the securities laws of any state or other political subdivision or territory of the United States of America, or (2) entertain original actions brought in the Cayman Islands against us or our directors or officers that are predicated upon the federal securities laws of the United States or the securities laws of any state or other political subdivision or territory of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Harney Westwood &amp; Riegels that although there is no statutory enforcement in the Cayman Islands of judgments obtained in the federal or state courts of the United States (and the Cayman Islands are not a party to any treaties for the reciprocal enforcement or recognition of such judgments), the Grand Court of the Cayman Islands will at common law enforce final and conclusive in personam judgments of state and/or federal courts of the United States of America, or the “Foreign Court”, of a debt or definite sum of money against the Company (other than a sum of money payable in respect of taxes or other charges of a like nature, a fine or other penalty (which may include a multiple damages judgment in an anti-trust action) or where enforcement would be contrary to public policy). The Grand Court of the Cayman Islands may also at common law enforce final and conclusive in personam judgments of the Foreign Court that are non-monetary against the Company, for example, declaratory judgments ruling upon the true legal owner of shares in a Cayman Islands company. The Grand Court of the Cayman Islands will exercise its discretion in the enforcement of non-money judgments by having regard to the circumstances, such as considering whether the principles of comity apply. To be treated as final and conclusive, any relevant judgment must be regarded as res judicata by the Foreign Court. A debt claim on a foreign judgment must be brought within six years of the date of the judgment, and arrears of interest on a judgment debt cannot be recovered after six years from the date on which the interest was due. The courts of the Cayman Islands are unlikely to enforce a judgment obtained from the Foreign Court under civil liability provisions of U.S. federal securities law if such a judgment is found by the courts of the Cayman Islands to give rise to obligations to make payments that are penal or punitive in nature. Such a determination has not yet been made by the Grand Court of the Cayman Islands. A court of the Cayman Islands may stay enforcement proceedings if concurrent proceedings are being brought elsewhere. A judgment entered in default of appearance by a defendant who has had notice of the Foreign Court’s intention to proceed may be final and conclusive notwithstanding that the Foreign Court has power to set aside its own judgment and despite the fact that it may be subject to an appeal the time-limit for which has not yet expired. The Grand Court of the Cayman Islands may safeguard the defendant’s rights by granting a stay of execution pending any such appeal and may also grant interim injunctive relief as appropriate for the purpose of enforcement.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WHEREYOUCANFINDMOREINFORMATION"/>
      <w:bookmarkEnd w:id="26"/>
      <w:r>
        <w:rPr>
          <w:rFonts w:ascii="Times New Roman;Times;Serif" w:hAnsi="Times New Roman;Times;Serif"/>
          <w:b/>
          <w:i w:val="false"/>
          <w:caps/>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 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“shelf’ registration statement (including amendments and exhibits to the registration statement) on Form F-3 under the Securities Act of 1933, as amended, with respect to the ordinary shares offered by this prospectus. This prospectus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reporting requirements of the Exchange Act. We file reports and other information with the SEC under the Exchange Act. Our SEC filings are available over the Internet at the SEC’s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Our website address is </w:t>
      </w:r>
      <w:r>
        <w:rPr>
          <w:rFonts w:ascii="Times New Roman;Times;Serif" w:hAnsi="Times New Roman;Times;Serif"/>
          <w:b w:val="false"/>
          <w:i/>
          <w:caps w:val="false"/>
          <w:smallCaps w:val="false"/>
          <w:sz w:val="20"/>
        </w:rPr>
        <w:t>www.sai.tech.</w:t>
      </w:r>
      <w:r>
        <w:rPr>
          <w:rFonts w:ascii="Times New Roman;Times;Serif" w:hAnsi="Times New Roman;Times;Serif"/>
          <w:b w:val="false"/>
          <w:i w:val="false"/>
          <w:caps w:val="false"/>
          <w:smallCaps w:val="false"/>
          <w:sz w:val="20"/>
        </w:rPr>
        <w:t xml:space="preserve"> The information on, or that can be accessed through, our website is not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INCORPORATIONOFCERTAININFORMATIONBYREFER"/>
      <w:bookmarkEnd w:id="27"/>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The information incorporated by reference is considered to be part of this prospectus and information we file later with the SEC will automatically update and supersede this information. The documents we are incorporating by reference as of their respective dates of filing are:</w:t>
      </w:r>
    </w:p>
    <w:p>
      <w:pPr>
        <w:pStyle w:val="TextBody"/>
        <w:bidi w:val="0"/>
        <w:spacing w:before="0" w:after="0"/>
        <w:ind w:left="0" w:right="0" w:firstLine="72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4">
              <w:r>
                <w:rPr>
                  <w:rStyle w:val="InternetLink"/>
                  <w:rFonts w:ascii="Times New Roman;Times;Serif" w:hAnsi="Times New Roman;Times;Serif"/>
                  <w:sz w:val="20"/>
                </w:rPr>
                <w:t>Form 20-F</w:t>
              </w:r>
            </w:hyperlink>
            <w:r>
              <w:rPr/>
              <w:t xml:space="preserve"> </w:t>
            </w:r>
            <w:r>
              <w:rPr>
                <w:rFonts w:ascii="Times New Roman;Times;Serif" w:hAnsi="Times New Roman;Times;Serif"/>
                <w:sz w:val="20"/>
              </w:rPr>
              <w:t>for the year ended December 31, 2025, filed on April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Report of Foreign Private Issuer on Form 6-K furnished to the SEC on </w:t>
            </w:r>
            <w:hyperlink r:id="rId5">
              <w:r>
                <w:rPr>
                  <w:rStyle w:val="InternetLink"/>
                  <w:rFonts w:ascii="Times New Roman;Times;Serif" w:hAnsi="Times New Roman;Times;Serif"/>
                  <w:sz w:val="20"/>
                </w:rPr>
                <w:t>June 5, 2026</w:t>
              </w:r>
            </w:hyperlink>
            <w:r>
              <w:rPr>
                <w:rFonts w:ascii="Times New Roman;Times;Serif" w:hAnsi="Times New Roman;Times;Serif"/>
                <w:sz w:val="20"/>
              </w:rPr>
              <w:t>,</w:t>
            </w:r>
            <w:r>
              <w:rPr/>
              <w:t xml:space="preserve"> </w:t>
            </w:r>
            <w:hyperlink r:id="rId6">
              <w:r>
                <w:rPr>
                  <w:rStyle w:val="InternetLink"/>
                  <w:rFonts w:ascii="Times New Roman;Times;Serif" w:hAnsi="Times New Roman;Times;Serif"/>
                  <w:sz w:val="20"/>
                </w:rPr>
                <w:t>April 28, 2026</w:t>
              </w:r>
            </w:hyperlink>
            <w:r>
              <w:rPr>
                <w:rFonts w:ascii="Times New Roman;Times;Serif" w:hAnsi="Times New Roman;Times;Serif"/>
                <w:sz w:val="20"/>
              </w:rPr>
              <w:t xml:space="preserve">, </w:t>
            </w:r>
            <w:hyperlink r:id="rId7">
              <w:r>
                <w:rPr>
                  <w:rStyle w:val="InternetLink"/>
                  <w:rFonts w:ascii="Times New Roman;Times;Serif" w:hAnsi="Times New Roman;Times;Serif"/>
                  <w:sz w:val="20"/>
                </w:rPr>
                <w:t>April 6, 2026</w:t>
              </w:r>
            </w:hyperlink>
            <w:r>
              <w:rPr/>
              <w:t xml:space="preserve"> </w:t>
            </w:r>
            <w:r>
              <w:rPr>
                <w:rFonts w:ascii="Times New Roman;Times;Serif" w:hAnsi="Times New Roman;Times;Serif"/>
                <w:sz w:val="20"/>
              </w:rPr>
              <w:t xml:space="preserve">and </w:t>
            </w:r>
            <w:hyperlink r:id="rId8">
              <w:r>
                <w:rPr>
                  <w:rStyle w:val="InternetLink"/>
                  <w:rFonts w:ascii="Times New Roman;Times;Serif" w:hAnsi="Times New Roman;Times;Serif"/>
                  <w:sz w:val="20"/>
                </w:rPr>
                <w:t>March 31, 2026</w:t>
              </w:r>
            </w:hyperlink>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part or all of any Form 6-K subsequently submitted by us to the SEC prior to the termination of the offering by identifying in such Forms 6-K that they, or certain parts of their contents, are being incorporated by reference herein, and any Forms 6-K so 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us at: SAIHEAT Limited, c/o #266A South Bridge Road, #02-01 Singapore (058815). Attention: Jianwei Li, Chief Executive Officer, telephone number: +65 9656 5641.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access these documents on our website, www.reitar.io. The information contained on, or that can be accessed through, our website is not a part of, and shall not be incorporated by reference into, this prospectus. We have included our website address in this prospectus solely as an inactive textual reference.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$300,000,000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ORDINARY SHARES, DEBT,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RIGHTS AND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July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PARTII"/>
      <w:bookmarkEnd w:id="28"/>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Memorandum and Articles of Association provide that every director and officer (which for the avoidance of doubt, shall not include auditors of the Company), together with every former director and former Officer (each an “Indemnified Person”)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the Amended and Restated Memorandum and Articles of Association unless or until a court of competent jurisdiction shall have made a finding to that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beginning on page II-4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480" w:right="0" w:hanging="48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230"/>
        <w:gridCol w:w="38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of the securities registered hereby are being made, a post-effective amendment to the registration statement:</w:t>
            </w:r>
          </w:p>
        </w:tc>
      </w:tr>
    </w:tbl>
    <w:p>
      <w:pPr>
        <w:pStyle w:val="TextBody"/>
        <w:bidi w:val="0"/>
        <w:spacing w:before="0" w:after="0"/>
        <w:ind w:left="1440" w:right="0" w:hanging="48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200"/>
        <w:gridCol w:w="61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9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Times New Roman;Times;Serif" w:hAnsi="Times New Roman;Times;Serif"/>
                <w:i/>
                <w:sz w:val="20"/>
              </w:rPr>
              <w:t>provided</w:t>
            </w:r>
            <w:r>
              <w:rPr>
                <w:rFonts w:ascii="Times New Roman;Times;Serif" w:hAnsi="Times New Roman;Times;Serif"/>
                <w:sz w:val="20"/>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such undersigned Registrant;</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such undersigned Registrant or its securities provided by or on behalf of the undersigned Registrant; and</w:t>
            </w:r>
          </w:p>
        </w:tc>
      </w:tr>
    </w:tbl>
    <w:p>
      <w:pPr>
        <w:pStyle w:val="TextBody"/>
        <w:bidi w:val="0"/>
        <w:spacing w:before="0" w:after="0"/>
        <w:ind w:left="1440" w:right="0" w:hanging="48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305"/>
        <w:gridCol w:w="88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480" w:right="0" w:hanging="48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230"/>
        <w:gridCol w:w="41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 that: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7"/>
        <w:gridCol w:w="60"/>
        <w:gridCol w:w="9618"/>
      </w:tblGrid>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Placement Agreement</w:t>
            </w:r>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both"/>
              <w:rPr/>
            </w:pPr>
            <w:hyperlink r:id="rId9">
              <w:r>
                <w:rPr>
                  <w:rStyle w:val="InternetLink"/>
                  <w:rFonts w:ascii="Times New Roman;Times;Serif" w:hAnsi="Times New Roman;Times;Serif"/>
                  <w:sz w:val="20"/>
                </w:rPr>
                <w:t>Fifth Amended and Restated Memorandum and Articles of Association of the Registrant, as currently in effect (incorporated by reference to Exhibit 3.2 to our report of Foreign Private Issuer on Form 6-K (File No. 001-40368) filed with the SEC on April 28, 2026)</w:t>
              </w:r>
            </w:hyperlink>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pPr>
            <w:hyperlink w:anchor="ea029605601ex4-1.htm">
              <w:r>
                <w:rPr>
                  <w:rStyle w:val="InternetLink"/>
                  <w:rFonts w:ascii="Times New Roman;Times;Serif" w:hAnsi="Times New Roman;Times;Serif"/>
                  <w:sz w:val="20"/>
                </w:rPr>
                <w:t>Registrant’s Specimen Certificate for Class A ordinary shares</w:t>
              </w:r>
            </w:hyperlink>
            <w:r>
              <w:rPr>
                <w:rFonts w:ascii="Times New Roman;Times;Serif" w:hAnsi="Times New Roman;Times;Serif"/>
                <w:sz w:val="20"/>
              </w:rPr>
              <w:t xml:space="preserve"> </w:t>
            </w:r>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both"/>
              <w:rPr/>
            </w:pPr>
            <w:hyperlink r:id="rId10">
              <w:r>
                <w:rPr>
                  <w:rStyle w:val="InternetLink"/>
                  <w:rFonts w:ascii="Times New Roman;Times;Serif" w:hAnsi="Times New Roman;Times;Serif"/>
                  <w:sz w:val="20"/>
                </w:rPr>
                <w:t>Specimen Warrant Certificate (incorporated by reference to Exhibit 4.1 to our report on Form 8-K/A (001-40368) filed with the SEC on May 6, 2021)</w:t>
              </w:r>
            </w:hyperlink>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both"/>
              <w:rPr/>
            </w:pPr>
            <w:hyperlink r:id="rId11">
              <w:r>
                <w:rPr>
                  <w:rStyle w:val="InternetLink"/>
                  <w:rFonts w:ascii="Times New Roman;Times;Serif" w:hAnsi="Times New Roman;Times;Serif"/>
                  <w:sz w:val="20"/>
                </w:rPr>
                <w:t>Warrant Agreement, dated as of April 28, 2021, between TradeUP Global Corporation and VStock Transfer, LLC, as warrant agent (incorporated by reference to Exhibit 4.1 to our report on Form 8-K/A (001-40368) filed with the SEC on May 6, 2021)</w:t>
              </w:r>
            </w:hyperlink>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Warrant Agreement</w:t>
            </w:r>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pPr>
            <w:hyperlink w:anchor="ea029605601ex4-5.htm">
              <w:r>
                <w:rPr>
                  <w:rStyle w:val="InternetLink"/>
                  <w:rFonts w:ascii="Times New Roman;Times;Serif" w:hAnsi="Times New Roman;Times;Serif"/>
                  <w:sz w:val="20"/>
                </w:rPr>
                <w:t>Form of Indenture</w:t>
              </w:r>
            </w:hyperlink>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Debt Security</w:t>
            </w:r>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Share Purchase Contract</w:t>
            </w:r>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Subscription Right Agreement (including form of Right Certificate)</w:t>
            </w:r>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Unit Agreement (including form of Unit Certificate)</w:t>
            </w:r>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Global Warrant to Purchase Class A ordinary shares (included in Exhibit 4.4)</w:t>
            </w:r>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pPr>
            <w:hyperlink w:anchor="ea029605601ex5-1.htm">
              <w:r>
                <w:rPr>
                  <w:rStyle w:val="InternetLink"/>
                  <w:rFonts w:ascii="Times New Roman;Times;Serif" w:hAnsi="Times New Roman;Times;Serif"/>
                  <w:sz w:val="20"/>
                </w:rPr>
                <w:t>Opinion of Harney Westwood &amp; Riegels regarding the validity of Class A Ordinary Shares being registered</w:t>
              </w:r>
            </w:hyperlink>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pPr>
            <w:hyperlink w:anchor="ea029605601ex23-1.htm">
              <w:r>
                <w:rPr>
                  <w:rStyle w:val="InternetLink"/>
                  <w:rFonts w:ascii="Times New Roman;Times;Serif" w:hAnsi="Times New Roman;Times;Serif"/>
                  <w:sz w:val="20"/>
                </w:rPr>
                <w:t>Consent of AssentSure PAC</w:t>
              </w:r>
            </w:hyperlink>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1E4F5"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60" w:type="dxa"/>
            <w:tcBorders/>
            <w:shd w:fill="C1E4F5" w:val="clear"/>
            <w:vAlign w:val="center"/>
          </w:tcPr>
          <w:p>
            <w:pPr>
              <w:pStyle w:val="TableContents"/>
              <w:bidi w:val="0"/>
              <w:spacing w:before="0" w:after="283"/>
              <w:jc w:val="left"/>
              <w:rPr/>
            </w:pPr>
            <w:r>
              <w:rPr/>
              <w:t> </w:t>
            </w:r>
          </w:p>
        </w:tc>
        <w:tc>
          <w:tcPr>
            <w:tcW w:w="9618" w:type="dxa"/>
            <w:tcBorders/>
            <w:shd w:fill="C1E4F5" w:val="clear"/>
            <w:vAlign w:val="center"/>
          </w:tcPr>
          <w:p>
            <w:pPr>
              <w:pStyle w:val="TableContents"/>
              <w:bidi w:val="0"/>
              <w:spacing w:before="0" w:after="283"/>
              <w:jc w:val="left"/>
              <w:rPr/>
            </w:pPr>
            <w:hyperlink w:anchor="ea029605601ex23-2.htm">
              <w:r>
                <w:rPr>
                  <w:rStyle w:val="InternetLink"/>
                  <w:rFonts w:ascii="Times New Roman;Times;Serif" w:hAnsi="Times New Roman;Times;Serif"/>
                  <w:sz w:val="20"/>
                </w:rPr>
                <w:t>Consent of Audit Alliance LLP.</w:t>
              </w:r>
            </w:hyperlink>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pPr>
            <w:hyperlink w:anchor="ea029605601ex5-1.htm">
              <w:r>
                <w:rPr>
                  <w:rStyle w:val="InternetLink"/>
                  <w:rFonts w:ascii="Times New Roman;Times;Serif" w:hAnsi="Times New Roman;Times;Serif"/>
                  <w:sz w:val="20"/>
                </w:rPr>
                <w:t>Consent of Harney Westwood &amp; Riegels (included in Exhibit 5.1)</w:t>
              </w:r>
            </w:hyperlink>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pPr>
            <w:hyperlink w:anchor="SIGNATURES">
              <w:r>
                <w:rPr>
                  <w:rStyle w:val="InternetLink"/>
                  <w:rFonts w:ascii="Times New Roman;Times;Serif" w:hAnsi="Times New Roman;Times;Serif"/>
                  <w:sz w:val="20"/>
                </w:rPr>
                <w:t>Powers of Attorney (included on signature page)</w:t>
              </w:r>
            </w:hyperlink>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T-1 Statement of Eligibility and Qualification under the Trust Indenture Act of 1939, as amended, of the Trustee under the Indenture</w:t>
            </w:r>
          </w:p>
        </w:tc>
      </w:tr>
      <w:tr>
        <w:trPr/>
        <w:tc>
          <w:tcPr>
            <w:tcW w:w="5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18" w:type="dxa"/>
            <w:tcBorders/>
            <w:shd w:fill="FFFFFF" w:val="clear"/>
            <w:vAlign w:val="center"/>
          </w:tcPr>
          <w:p>
            <w:pPr>
              <w:pStyle w:val="TableContents"/>
              <w:bidi w:val="0"/>
              <w:spacing w:before="0" w:after="283"/>
              <w:jc w:val="left"/>
              <w:rPr/>
            </w:pPr>
            <w:r>
              <w:rPr/>
              <w:t> </w:t>
            </w:r>
          </w:p>
        </w:tc>
      </w:tr>
      <w:tr>
        <w:trPr/>
        <w:tc>
          <w:tcPr>
            <w:tcW w:w="5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vAlign w:val="center"/>
          </w:tcPr>
          <w:p>
            <w:pPr>
              <w:pStyle w:val="TableContents"/>
              <w:bidi w:val="0"/>
              <w:spacing w:before="0" w:after="283"/>
              <w:jc w:val="left"/>
              <w:rPr/>
            </w:pPr>
            <w:r>
              <w:rPr/>
              <w:t> </w:t>
            </w:r>
          </w:p>
        </w:tc>
        <w:tc>
          <w:tcPr>
            <w:tcW w:w="9618" w:type="dxa"/>
            <w:tcBorders/>
            <w:shd w:fill="CCEEFF" w:val="clear"/>
            <w:vAlign w:val="center"/>
          </w:tcPr>
          <w:p>
            <w:pPr>
              <w:pStyle w:val="TableContents"/>
              <w:bidi w:val="0"/>
              <w:spacing w:before="0" w:after="283"/>
              <w:jc w:val="left"/>
              <w:rPr/>
            </w:pPr>
            <w:hyperlink w:anchor="ea029605601ex-fee.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center"/>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75"/>
        <w:gridCol w:w="125"/>
        <w:gridCol w:w="125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230"/>
        <w:gridCol w:w="96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if applicable, by amendment, or as an exhibit to a report on Form 6-K and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335"/>
        <w:gridCol w:w="723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pursuant to Section 305(b)(2) of the Trust Indenture Act of 1939, as amended.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SIGNATURES"/>
      <w:bookmarkEnd w:id="29"/>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F-3 has duly caused this registration statement to be signed on its behalf by the undersigned, thereunto duly authorized, on July 2, 2026.</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SAIHEAT Limited</w:t>
            </w:r>
          </w:p>
        </w:tc>
      </w:tr>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Jianwei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Jianwei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on July 2, 2026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28" w:type="dxa"/>
          <w:right w:w="0" w:type="dxa"/>
        </w:tblCellMar>
      </w:tblPr>
      <w:tblGrid>
        <w:gridCol w:w="1415"/>
        <w:gridCol w:w="60"/>
        <w:gridCol w:w="3650"/>
      </w:tblGrid>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r>
      <w:tr>
        <w:trPr/>
        <w:tc>
          <w:tcPr>
            <w:tcW w:w="1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center"/>
              <w:rPr/>
            </w:pPr>
            <w:r>
              <w:rPr/>
              <w:t> </w:t>
            </w:r>
          </w:p>
        </w:tc>
      </w:tr>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Jianwei Li</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r>
        <w:trPr/>
        <w:tc>
          <w:tcPr>
            <w:tcW w:w="14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Jianwei Li</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4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Jianwei Li</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Acting Chief Financial Officer</w:t>
            </w:r>
          </w:p>
        </w:tc>
      </w:tr>
      <w:tr>
        <w:trPr/>
        <w:tc>
          <w:tcPr>
            <w:tcW w:w="14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Jianwei Li</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4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Hao Ge</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4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Hao Ge</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Lulu Zhou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4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Lulu Zhou</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Junfei Ren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4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Junfei Ren</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r>
        <w:trPr/>
        <w:tc>
          <w:tcPr>
            <w:tcW w:w="141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Tianshi Yang </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w:t>
            </w:r>
          </w:p>
        </w:tc>
      </w:tr>
      <w:tr>
        <w:trPr/>
        <w:tc>
          <w:tcPr>
            <w:tcW w:w="14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Tianshi Yang</w:t>
            </w:r>
          </w:p>
        </w:tc>
        <w:tc>
          <w:tcPr>
            <w:tcW w:w="60" w:type="dxa"/>
            <w:tcBorders/>
            <w:tcMar>
              <w:bottom w:w="0" w:type="dxa"/>
            </w:tcMar>
            <w:vAlign w:val="center"/>
          </w:tcPr>
          <w:p>
            <w:pPr>
              <w:pStyle w:val="TableContents"/>
              <w:bidi w:val="0"/>
              <w:spacing w:before="0" w:after="283"/>
              <w:jc w:val="left"/>
              <w:rPr/>
            </w:pPr>
            <w:r>
              <w:rPr/>
              <w:t> </w:t>
            </w:r>
          </w:p>
        </w:tc>
        <w:tc>
          <w:tcPr>
            <w:tcW w:w="365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SIGNATUREOFAUTHORIZEDREPRESENTATIVEINTHE"/>
      <w:bookmarkEnd w:id="30"/>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the undersigned, the duly authorized representative in the United States of SAIHEAT Limited, has signed this registration statement or amendment thereto in Newark, Delaware on July 2, 2026.</w:t>
      </w:r>
    </w:p>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635"/>
        <w:gridCol w:w="1655"/>
      </w:tblGrid>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b/>
              </w:rPr>
            </w:pPr>
            <w:r>
              <w:rPr>
                <w:b/>
              </w:rPr>
              <w:t>Puglisi &amp; Associates</w:t>
            </w:r>
          </w:p>
        </w:tc>
      </w:tr>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6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Donald J. Puglisi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Donald J. Puglisi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1" w:name="ea029605601ex4-1.htm"/>
      <w:bookmarkStart w:id="32" w:name="ksea029605601ex41"/>
      <w:bookmarkEnd w:id="31"/>
      <w:bookmarkEnd w:id="32"/>
      <w:r>
        <w:rPr>
          <w:b/>
        </w:rPr>
        <w:t>Exhibit 4.1</w:t>
      </w:r>
      <w:r>
        <w:br w:type="page"/>
      </w:r>
    </w:p>
    <w:p>
      <w:pPr>
        <w:pStyle w:val="TextBody"/>
        <w:bidi w:val="0"/>
        <w:jc w:val="right"/>
        <w:rPr/>
      </w:pPr>
      <w:r>
        <w:rPr/>
        <w:t> </w:t>
      </w:r>
    </w:p>
    <w:p>
      <w:pPr>
        <w:pStyle w:val="TextBody"/>
        <w:bidi w:val="0"/>
        <w:jc w:val="center"/>
        <w:rPr/>
      </w:pPr>
      <w:r>
        <w:rPr/>
        <w:drawing>
          <wp:inline distT="0" distB="0" distL="0" distR="0">
            <wp:extent cx="9048750" cy="6391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9048750" cy="6391275"/>
                    </a:xfrm>
                    <a:prstGeom prst="rect">
                      <a:avLst/>
                    </a:prstGeom>
                  </pic:spPr>
                </pic:pic>
              </a:graphicData>
            </a:graphic>
          </wp:inline>
        </w:drawing>
      </w: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3" w:name="ea029605601ex4-5.htm"/>
      <w:bookmarkStart w:id="34" w:name="ksea029605601ex45"/>
      <w:bookmarkEnd w:id="33"/>
      <w:bookmarkEnd w:id="34"/>
      <w:r>
        <w:rPr>
          <w:rFonts w:ascii="Times New Roman;Times;Serif" w:hAnsi="Times New Roman;Times;Serif"/>
          <w:b/>
          <w:i w:val="false"/>
          <w:caps w:val="false"/>
          <w:smallCaps w:val="false"/>
          <w:sz w:val="20"/>
        </w:rPr>
        <w:t>Exhibit 4.5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SAIHEAT </w:t>
      </w:r>
      <w:r>
        <w:rPr>
          <w:rFonts w:ascii="Times New Roman;Times;Serif" w:hAnsi="Times New Roman;Times;Serif"/>
          <w:b/>
          <w:i w:val="false"/>
          <w:caps w:val="false"/>
          <w:smallCaps w:val="false"/>
          <w:sz w:val="20"/>
        </w:rPr>
        <w:t>Limited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INDENTURE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Dated as of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TABLE OF CONTENTS</w:t>
      </w:r>
    </w:p>
    <w:p>
      <w:pPr>
        <w:pStyle w:val="TextBody"/>
        <w:bidi w:val="0"/>
        <w:spacing w:before="0" w:after="0"/>
        <w:ind w:left="0" w:right="0" w:hanging="0"/>
        <w:jc w:val="center"/>
        <w:rPr>
          <w:caps/>
        </w:rPr>
      </w:pPr>
      <w:r>
        <w:rPr>
          <w:caps/>
        </w:rPr>
        <w:t> </w:t>
      </w:r>
    </w:p>
    <w:tbl>
      <w:tblPr>
        <w:tblW w:w="8695" w:type="dxa"/>
        <w:jc w:val="left"/>
        <w:tblInd w:w="0" w:type="dxa"/>
        <w:tblLayout w:type="fixed"/>
        <w:tblCellMar>
          <w:top w:w="0" w:type="dxa"/>
          <w:left w:w="0" w:type="dxa"/>
          <w:bottom w:w="0" w:type="dxa"/>
          <w:right w:w="0" w:type="dxa"/>
        </w:tblCellMar>
      </w:tblPr>
      <w:tblGrid>
        <w:gridCol w:w="8240"/>
        <w:gridCol w:w="455"/>
      </w:tblGrid>
      <w:tr>
        <w:trPr/>
        <w:tc>
          <w:tcPr>
            <w:tcW w:w="824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DEFINITIONS</w:t>
            </w:r>
          </w:p>
        </w:tc>
        <w:tc>
          <w:tcPr>
            <w:tcW w:w="455" w:type="dxa"/>
            <w:tcBorders/>
            <w:shd w:fill="CCEEFF" w:val="clear"/>
            <w:vAlign w:val="center"/>
          </w:tcPr>
          <w:p>
            <w:pPr>
              <w:pStyle w:val="TableContents"/>
              <w:bidi w:val="0"/>
              <w:spacing w:before="0" w:after="283"/>
              <w:jc w:val="center"/>
              <w:rPr/>
            </w:pPr>
            <w:r>
              <w:rPr/>
              <w:t>1</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 Definitions</w:t>
            </w:r>
          </w:p>
        </w:tc>
        <w:tc>
          <w:tcPr>
            <w:tcW w:w="455" w:type="dxa"/>
            <w:tcBorders/>
            <w:shd w:fill="FFFFFF" w:val="clear"/>
            <w:vAlign w:val="center"/>
          </w:tcPr>
          <w:p>
            <w:pPr>
              <w:pStyle w:val="TableContents"/>
              <w:bidi w:val="0"/>
              <w:spacing w:before="0" w:after="283"/>
              <w:jc w:val="center"/>
              <w:rPr/>
            </w:pPr>
            <w:r>
              <w:rPr/>
              <w:t>1</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DESCRIPTION, EXECUTION, REGISTRATION AND EXCHANGE OF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 Forms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 Amount Unlimited; Issuable in Series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 Authentication</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 Date and Denomination of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 Execution of Securities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 Exchange and Registration of Transfer of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 Mutilated, Destroyed, Lost or Stolen Securities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 Temporary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 Cancellation of Securities Paid, etc</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 Computation of Interest</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 Form of Legend for Global Securities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REDEMPTION OF SECURITIES; SINKING FUNDS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 Applicability of Article</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 Notice of Redemption; Selection of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 Payment of Securities Called for Redemption</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 Satisfaction of Mandatory Sinking Fund Payments with Securities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 Redemption of Securities for Sinking Fund</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PARTICULAR COVENANTS OF THE COMPANY</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 Payment of Principal, Premium and Interest</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 Offices for Notices and Payments, etc</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 Appointment to Fill Vacancies in Trustee’s Office</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 Provision as to Paying Agent</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 Statement as to Compliance</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 Additional Amounts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SECURITYHOLDER LISTS AND REPORTS BY THE COMPANY AND THE TRUSTEE</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 Securityholder Lists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 Reports by the Company</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 Reports by the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REMEDIES OF THE TRUSTEE AND SECURITYHOLDERS ON EVENT OF DEFAULT</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 Events of Default</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 Payment of Securities on Default; Suit Therefor</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8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 Application of Moneys Collected by Trustee</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8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 Proceedings by Securityholders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370"/>
        <w:gridCol w:w="245"/>
      </w:tblGrid>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 Proceedings by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 Remedies Cumulative and Continuing</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 Direction of Proceedings and Waiver of Defaults by Securityholders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 Notice of Defaults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 Undertaking to Pay Costs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CONCERNING THE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 Duties and Responsibilities of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 Reliance on Documents, Opinions, etc</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 No Responsibility for Recitals, etc</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 Ownership of Securities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 Moneys to be Held in Trust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 Compensation and Expenses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 Officer’s Certificate as Evidence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 Indentures Not Creating Potential Conflicting Interests For The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 Eligibility of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 Resignation or Removal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 Acceptance by Successor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 Succession by Merger, etc</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 Appointment of Authenticating Agent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CONCERNING THE SECURITYHOLDERS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 Action of Securityholders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 Proof of Execution by Securityholders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 Who Are Deemed Absolute Owners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 Company-Owned Securities Disregarded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 Revocation of Consents; Future Holders Bound</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[RESERVED]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SUPPLEMENTAL INDENTURES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 Supplemental Indentures without Consent of Securityholders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 Supplemental Indentures with Consent of Securityholders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 Compliance with Trust Indenture Act; Effect of Supplemental Indentures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 Notation on Securities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 Evidence of Compliance of Supplemental Indenture to be Furnished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 CONSOLIDATION, MERGER, SALE OR CONVEYANCE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 Company May Consolidate, Merge Or Sell Assets on Certain Terms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3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 Successor Corporation or Limited Liability Company to be Substituted</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73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 Documents to be Given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8375"/>
        <w:gridCol w:w="245"/>
      </w:tblGrid>
      <w:tr>
        <w:trPr/>
        <w:tc>
          <w:tcPr>
            <w:tcW w:w="8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XII SATISFACTION AND DISCHARGE OF INDENTURE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 Discharge of Indenture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8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12.02 Legal Defeasance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12.03 Covenant Defeasance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8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12.04 Deposited Moneys to be Held in Trust by Trustee; Miscellaneous Provisions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12.05 Paying Agent to Repay Moneys Held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8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12.06 Return of Unclaimed Moneys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12.07 Reinstatement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8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XIII IMMUNITY OF INCORPORATORS, STOCKHOLDERS, OFFICERS AND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 Indenture and Securities Solely Corporate Obligations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8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XIV MISCELLANEOUS PROVISIONS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14.01 Provisions Binding on Company’s Successors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8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14.02 Official Acts by Successor Corporation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14.03 Addresses for Notices, Notice to Holders, Waiver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8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14.04 New York Contract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14.05 Evidence of Compliance with Conditions Precedent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8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14.06 Legal Holidays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14.07 Securities in a Specified Currency other than Dollars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8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14.08 Trust Indenture Act to Control</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14.09 Table of Contents, Headings, etc</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8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14.10 Execution in Counterparts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14.11 Separability; Benefits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8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14.12 Section 14.12 U.S.A</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dated as of by and between SAIHEAT Limited, a Cayman Islands exempted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 I T N E S S E T H:</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duly authorized the issue from time to time of its unsecured debentures, notes or other evidences of indebtedness to be issued in one or more series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 NOW, THEREFORE: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Company and the Trustee mutually covenant and agree for the equal and proportionate benefit of the respective holders from time to time of the Securities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r>
        <w:rPr>
          <w:rFonts w:ascii="Times New Roman;Times;Serif" w:hAnsi="Times New Roman;Times;Serif"/>
          <w:b w:val="false"/>
          <w:i w:val="false"/>
          <w:caps/>
          <w:sz w:val="20"/>
        </w:rPr>
        <w:br/>
        <w:t>DEFINITIONS</w:t>
      </w:r>
    </w:p>
    <w:p>
      <w:pPr>
        <w:pStyle w:val="TextBody"/>
        <w:bidi w:val="0"/>
        <w:spacing w:before="0" w:after="0"/>
        <w:ind w:left="0" w:right="0" w:firstLine="54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terms defined in this Section 1.01 (except as herein otherwise expressly provided or unless the context otherwise requires) for all purposes of this Indenture shall have the respective meanings specified in this Section 1.01. All other terms used in this Indenture which are defined in the Trust Indenture Act of 1939, as amended, or which are by reference therein defined in the Securities Act of 1933, as amended (except as herein otherwise expressly provided or unless the context otherwise requires), shall have the meanings assigned to such terms in said Trust Indenture Act and in said Securities Act as in force at the date of this Indenture as originally executed. The words “herein,” “hereof,” and “hereunder” and other words of similar import refer to this Indenture as a whole and not to any particular Article, Section or other subdivision.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Authenticating Agent</w:t>
      </w:r>
      <w:r>
        <w:rPr>
          <w:rFonts w:ascii="Times New Roman;Times;Serif" w:hAnsi="Times New Roman;Times;Serif"/>
          <w:b w:val="false"/>
          <w:i w:val="false"/>
          <w:caps w:val="false"/>
          <w:smallCaps w:val="false"/>
          <w:sz w:val="20"/>
        </w:rPr>
        <w:t>” means any Person authorized by the Trustee pursuant to Section 7.14 to act on behalf of the Trustee to authenticate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Officer</w:t>
      </w:r>
      <w:r>
        <w:rPr>
          <w:rFonts w:ascii="Times New Roman;Times;Serif" w:hAnsi="Times New Roman;Times;Serif"/>
          <w:b w:val="false"/>
          <w:i w:val="false"/>
          <w:caps w:val="false"/>
          <w:smallCaps w:val="false"/>
          <w:sz w:val="20"/>
        </w:rPr>
        <w:t>” means any of the Company’s directors, the Company’s principal executive officer or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means a Person who is the beneficial owner of a beneficial interest in a Global Security as reflected on the books of the Depositary or on the books of a Person maintaining an account with such Depositary (directly as a Depositary participant or as an indirect participant, in each case in accordance with the rules of such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any Committee of such Board or specified officers and employees of the Company to which the powers of such Board have been lawfully delegated.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SAIHEAT Limited, a Cayman Islands exempted company, until any successor corporation or limited liability company shall have become such pursuant to the provisions of Article Eleven, and thereafter “Company” shall mean such successor, except as otherwise provided in Section 11.02.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Securities of any series issuable in whole or in part in the form of one or more Global Securities, a clearing agency registered under the Securities Exchange Act of 1934, as amended, that is designated to act as depositary for such Securities as contemplated by Section 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w:t>
      </w:r>
      <w:r>
        <w:rPr>
          <w:rFonts w:ascii="Times New Roman;Times;Serif" w:hAnsi="Times New Roman;Times;Serif"/>
          <w:b w:val="false"/>
          <w:i w:val="false"/>
          <w:caps w:val="false"/>
          <w:smallCaps w:val="false"/>
          <w:sz w:val="20"/>
        </w:rPr>
        <w:t>” means the coin or currency of the United States of America as at the time of payment is legal tender for the payment of public and private debts.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have the meaning specified in Section 6.01.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Security</w:t>
      </w:r>
      <w:r>
        <w:rPr>
          <w:rFonts w:ascii="Times New Roman;Times;Serif" w:hAnsi="Times New Roman;Times;Serif"/>
          <w:b w:val="false"/>
          <w:i w:val="false"/>
          <w:caps w:val="false"/>
          <w:smallCaps w:val="false"/>
          <w:sz w:val="20"/>
        </w:rPr>
        <w:t>” means a Security that evidences all or part of the Securities of any series and bears the legend set forth in Section 2.11 (or such legend as may be specified as contemplated by Section 2.02 for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as it may be amended or supplemented from time to time as herein provided, and shall include the form and terms of particular series of Securities established as contemplated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when used with respect to a non-interest bearing Security, means interest payable after the principal thereof has become due and payable whether at maturity, by declaration of acceleration, by call for redemption, pursuant to a sinking fund,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any one of the Authorized Officers and delivered to the Trustee. Each such certificate shall comply with Section 314 of the Trust Indenture Act of 1939 and include the statements provided for in Section 14.05 if and to the extent required by the provisions of such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legal counsel, who may be an employee of or of counsel to the Company, or may be other counsel, in any case, satisfactory to the Trustee. Each such opinion shall comply with Section 314 of the Trust Indenture Act of 1939 and include the statements provided for in Section 14.05 if and to the extent required by the provisions of such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which provides for an amount less than the principal amount thereof to be due and payable upon a declaration of acceleration of the maturity thereof pursuant to Section 6.01.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Overdue Rate</w:t>
      </w:r>
      <w:r>
        <w:rPr>
          <w:rFonts w:ascii="Times New Roman;Times;Serif" w:hAnsi="Times New Roman;Times;Serif"/>
          <w:b w:val="false"/>
          <w:i w:val="false"/>
          <w:caps w:val="false"/>
          <w:smallCaps w:val="false"/>
          <w:sz w:val="20"/>
        </w:rPr>
        <w:t>” means, with respect to each series of Securities, the rate of interest designated as such in the resolution of the Board of Directors or the supplemental indenture, as the case may be, relating to such series as contemplated by Section 2.02, or if no such rate is specified, the rate at which such Securities shall bear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association, joint stock company, trust, unincorporated organization or government or any agency or political subdivision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office of the Trustee,</w:t>
      </w:r>
      <w:r>
        <w:rPr>
          <w:rFonts w:ascii="Times New Roman;Times;Serif" w:hAnsi="Times New Roman;Times;Serif"/>
          <w:b w:val="false"/>
          <w:i w:val="false"/>
          <w:caps w:val="false"/>
          <w:smallCaps w:val="false"/>
          <w:sz w:val="20"/>
        </w:rPr>
        <w:t>” or other similar term, means the office of the Trustee at which at any particular time its corporate trust business shall be administered.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the chairman or any vice chairman of the board of directors, the chairman or any vice chairman of the executive committee of the board of directors, the president, any executive vice president, any senior vice president, any vice president, any assistant vice president, any trust officer, any assistant trust officer, or any other officer or assistant officer of the Trustee customarily performing functions similar to those performed by the persons who at the time shall be such officers, respectively, or to whom any corporate trust matter is referred because of his knowledge of and familiarity with the particular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any Security or Securities, as the case may be, authenticated and delivered under this Indenture. “</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when used with reference to Securities, means, subject to the provisions of Section 8.04, mean, as of any particular time, all Securities authenticated and delivered by the Trustee under this Indenture, except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theretofore cancelled by the Trustee or delivered to the Trustee for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Securities, or portions thereof, for the payment or redemption of which moneys in the necessary amount shall have been deposited in trust with the Trustee or with any paying agent (other than the Company) or shall have been set aside and segregated in trust by the Company (if the Company shall act as its own paying agent), provided that if such Securities are to be redeemed prior to the maturity thereof, notice of such redemption shall have been delivered as in Article Three provided, or provision satisfactory to the Trustee shall have been made for delivering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Securities as to which defeasance has been effected pursuant to Section 12.02;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Securities in lieu of or in substitution for which other Securities shall have been authenticated and delivered, or which shall have been paid, pursuant to the terms of Section 2.07, unless proof satisfactory to the Trustee is presented that any such Securities are held by persons in whose hands any of such Securities is a valid, binding and legal obligation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6.01.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holder of Securities,</w:t>
      </w:r>
      <w:r>
        <w:rPr>
          <w:rFonts w:ascii="Times New Roman;Times;Serif" w:hAnsi="Times New Roman;Times;Serif"/>
          <w:b w:val="false"/>
          <w:i w:val="false"/>
          <w:caps w:val="false"/>
          <w:smallCaps w:val="false"/>
          <w:sz w:val="20"/>
        </w:rPr>
        <w:t>” or other similar terms, means any person in whose name at the time a particular Security is registered on the books of the Registrar kept for that purpose in accordance with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Currency</w:t>
      </w:r>
      <w:r>
        <w:rPr>
          <w:rFonts w:ascii="Times New Roman;Times;Serif" w:hAnsi="Times New Roman;Times;Serif"/>
          <w:b w:val="false"/>
          <w:i w:val="false"/>
          <w:caps w:val="false"/>
          <w:smallCaps w:val="false"/>
          <w:sz w:val="20"/>
        </w:rPr>
        <w:t>” means the currency in which a Security is denominated, which may include Dollars, any foreign currency or any composite of two or more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 of 1939</w:t>
      </w:r>
      <w:r>
        <w:rPr>
          <w:rFonts w:ascii="Times New Roman;Times;Serif" w:hAnsi="Times New Roman;Times;Serif"/>
          <w:b w:val="false"/>
          <w:i w:val="false"/>
          <w:caps w:val="false"/>
          <w:smallCaps w:val="false"/>
          <w:sz w:val="20"/>
        </w:rPr>
        <w:t>” means the Trust Indenture Act of 1939 as it was in force at the date of execution of this Indenture, except as provided in Section 10.03.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corporation or association named as Trustee in this Indenture and, subject to the provisions of Article Seven hereof, shall also include its successors and assigns as Trustee hereunder. If pursuant to the provisions of this Indenture there shall be at any time more than one Trustee hereunder, the term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used with respect to Securities of any series shall mean the Trustee with respect to Securities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shall have the meaning specified in Section 12.02.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r>
        <w:rPr>
          <w:rFonts w:ascii="Times New Roman;Times;Serif" w:hAnsi="Times New Roman;Times;Serif"/>
          <w:b w:val="false"/>
          <w:i w:val="false"/>
          <w:caps/>
          <w:sz w:val="20"/>
        </w:rPr>
        <w:br/>
        <w:t>DESCRIPTION, EXECUTION, REGISTRATION AND EXCHANGE OF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Forms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Securities of each series shall be in substantially such form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such legends or endorsements placed thereon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stock exchange on which the Securities of such series may be listed, or to conform to usage.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resolutions adopted by the Board of Directors or one or more indentures supplemental hereto establishing the form and terms of the Securities of any series pursuant to Sections 2.01 and 2.02, respectively, of this Indenture, may provide for issuance of Global Securities. If Securities of a series are so authorized to be issued as Global Securities, any such Global Security may provide that it shall represent that aggregate amount of Securities from time to time endorsed thereon and may also provide that the aggregate amount of Outstanding Securities represented thereby may from time to time be reduced to reflect exchanges. Any endorsement of a Global Security to reflect the amount, or any increase or decrease in the amount or changes in the rights of holders of Securities represented thereby, shall be made in such manner and by such person or persons as shall be specified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Trustee’s Certificate of Authentication on all Securities shall be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one of the Securities of the series designated therein described in the within-mentioned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as Trustee</w:t>
      </w:r>
    </w:p>
    <w:p>
      <w:pPr>
        <w:pStyle w:val="TextBody"/>
        <w:bidi w:val="0"/>
        <w:spacing w:before="0" w:after="0"/>
        <w:ind w:left="0" w:right="0" w:hanging="0"/>
        <w:jc w:val="both"/>
        <w:rPr>
          <w:caps w:val="false"/>
          <w:smallCaps w:val="false"/>
        </w:rPr>
      </w:pPr>
      <w:r>
        <w:rPr>
          <w:caps w:val="false"/>
          <w:smallCaps w:val="false"/>
        </w:rPr>
        <w:t> </w:t>
      </w:r>
    </w:p>
    <w:tbl>
      <w:tblPr>
        <w:tblW w:w="1954" w:type="dxa"/>
        <w:jc w:val="left"/>
        <w:tblInd w:w="0" w:type="dxa"/>
        <w:tblLayout w:type="fixed"/>
        <w:tblCellMar>
          <w:top w:w="0" w:type="dxa"/>
          <w:left w:w="0" w:type="dxa"/>
          <w:bottom w:w="0" w:type="dxa"/>
          <w:right w:w="0" w:type="dxa"/>
        </w:tblCellMar>
      </w:tblPr>
      <w:tblGrid>
        <w:gridCol w:w="75"/>
        <w:gridCol w:w="1458"/>
        <w:gridCol w:w="421"/>
      </w:tblGrid>
      <w:tr>
        <w:trPr/>
        <w:tc>
          <w:tcPr>
            <w:tcW w:w="75" w:type="dxa"/>
            <w:tcBorders/>
            <w:vAlign w:val="center"/>
          </w:tcPr>
          <w:p>
            <w:pPr>
              <w:pStyle w:val="TableContents"/>
              <w:bidi w:val="0"/>
              <w:spacing w:before="0" w:after="283"/>
              <w:jc w:val="left"/>
              <w:rPr/>
            </w:pPr>
            <w:r>
              <w:rPr/>
              <w:t> </w:t>
            </w:r>
          </w:p>
        </w:tc>
        <w:tc>
          <w:tcPr>
            <w:tcW w:w="14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Amount Unlimited; Issuable in Series</w:t>
      </w:r>
      <w:r>
        <w:rPr>
          <w:rFonts w:ascii="Times New Roman;Times;Serif" w:hAnsi="Times New Roman;Times;Serif"/>
          <w:b w:val="false"/>
          <w:i w:val="false"/>
          <w:caps w:val="false"/>
          <w:smallCaps w:val="false"/>
          <w:sz w:val="20"/>
        </w:rPr>
        <w:t>. The aggregate principal amount of Securities which may be authenticated and delivered under this Indenture is unlimited.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There shall be established in or pursuant to a resolution of the Board of Directors or established in one or more indentures supplemental hereto, prior to the issuance of Securities of any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of the Securities of the series (which shall distinguish the Securities of the series from all other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2.06, 2.07, 2.08, 3.03, 3.06 or 10.04);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and premium, if any, of the Securities of the series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or the method of determination thereof, at which the Securities of the series shall bear interest, if any, the date or dates from which such interest shall accrue, the interest payment dates on which such interest shall be payable and, if other than as set forth in Section 2.04, the record dates for the determination of holders to whom interest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 or places where the principal of, and premium, if any, and any interest on Securities of the series shall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Specified Currency of the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currency or currencies in which payments on the Securities of the series are payable, if other than the Specified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price or prices at which, the period or periods within which and the terms and conditions upon which Securities of the series may be redeemed, in whole or in part, at the option of the Company, pursuant to any sinking fund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obligation, if any, of the Company to redeem, purchase or repay Securities of the series pursuant to any sinking fund or analogous provisions or at the option of a holder thereof and the price at which or process by which and the period or periods within which and the terms and conditions upon which Securities of the series shall be redeemed, purchased or repaid, in whole or in part, pursuant to such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denominations of $1,000 and any multiple thereof, the denominations in which Securities of the series shall be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other than the principal amount thereof, the portion of the principal amount of Securities of the series which shall be payable upon declaration of acceleration of the maturity thereof pursuant to Section 6.01;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the principal of or interest on the Securities of the series are to be payable, at the election of the Company or a holder thereof, in a coin or currency other than the Specified Currency, the period or periods within which, and the terms and conditions upon which, such election may be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the amount of payments of principal of and interest on the Securities of the series may be determined with reference to an index based on a coin or currency other than the Specified Currency, the manner in which such amounts shall be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Events of Default with respect to the Securities of the series, if not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if other than the rate of interest stated in the title of the Securities of the series, the applicable Overdue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 the case of any series of non-interest bearing Securities, the applicable dates for purposes of clause (a) of Section 5.01;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if other than is to act as Trustee for the Securities of the series, the name and Principal Office of such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if either or both of Sections 12.02 and 12.03 do not apply to any Securities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if applicable, that any Securities of the series shall be issuable in whole or in part in the form of one or more Global Securities and, in such case, the name of the respective Depositaries for such Global Securities, the form of any legend or legends which shall be borne by any such Global Security in addition to or in lieu of that set forth in Section 2.11 and any circumstances in addition to or in lieu of those set forth in clause (b) of Section 2.06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addition to the covenants set forth in Article Four which applies to Securities of the series and whether any such covenant shall be subject to covenant defeasance under Section 12.03;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terms of any right or obligation to convert or exchange Securities of such series into any other securities or property of the Company or of any other corporation or Person, and the additions or changes, if any, to this Indenture with respect to the Securities of such series to permit or facilitate such conversion or exchange;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other terms of the series (which terms shall not be inconsistent with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denomination and except as may otherwise be provided in or pursuant to such resolution of the Board of Directors or in any such indenture supplemental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Section 2.02(b) herein and 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Event of Default with respect to such series has occurred and is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Authentication</w:t>
      </w:r>
      <w:r>
        <w:rPr>
          <w:rFonts w:ascii="Times New Roman;Times;Serif" w:hAnsi="Times New Roman;Times;Serif"/>
          <w:b w:val="false"/>
          <w:i w:val="false"/>
          <w:caps w:val="false"/>
          <w:smallCaps w:val="false"/>
          <w:sz w:val="20"/>
        </w:rPr>
        <w:t>. At any time and from time to time after the execution and delivery of this Indenture, the Company may deliver Securities of any series executed by the Company to the Trustee for authentication. Except as otherwise provided in this Article Two, the Trustee shall thereupon authenticate and deliver said Securities to or upon the written order of the Company, signed by any one of its Authorized Officers, which order shall set forth the number of separate Securities certificates, the principal amount of each of the Securities to be authenticated, the date on which the original issue of Securities is to be authenticated, the registered holder of each of the said Securities and delivery instructions. In authenticating such Securities, and accepting the additional responsibilities under this Indenture in relation to such Securities, the Trustee shall be entitled to receive and (subject to Section 7.01) shall be fully protected in relying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copy of any resolution or resolutions of the Board of Directors relating thereto and, if applicable, an appropriate record of any action taken pursuant to such resolution, in each case certified by the Secretary or an Assistant Secretary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executed supplemental indenture, if any,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Officer’s Certificate prepared in accordance with Section 14.05 which shall also state to the best knowledge of the signers of such Certificate that no Event of Default with respect to any series of Securities shall have occurred and be continuing;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Opinion of Counsel prepared in accordance with Section 14.05 to the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terms of such Securities have been established by or pursuant to a resolution of the Board of Directors or by a supplemental indenture as permitted by Section 2.02 in conformity with the provisions of this Indenture;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such Securities have been duly and validly executed, and when duly authenticated by the Trustee and issued by the Company in the manner and subject to any conditions specified in such Opinion of Counsel, will constitute the legal, valid and binding obligations of the Company, enforceable against it in accordance with their terms, subject to customary exceptions and qualifications. The Trustee shall have the right to decline to authenticate and deliver or cause to be authenticated and delivered any Securities under this Section 2.03 if the Trustee, being advised by counsel, determines that such action may not lawfully be taken or if the Trustee in good faith by its board of directors or trustees, executive committee, or a trust committee of directors or trustees and/or vice presidents shall determine that such action would expose the Trustee to personal liability to existing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Date and Denomination of Securities</w:t>
      </w:r>
      <w:r>
        <w:rPr>
          <w:rFonts w:ascii="Times New Roman;Times;Serif" w:hAnsi="Times New Roman;Times;Serif"/>
          <w:b w:val="false"/>
          <w:i w:val="false"/>
          <w:caps w:val="false"/>
          <w:smallCaps w:val="false"/>
          <w:sz w:val="20"/>
        </w:rPr>
        <w:t>. The Securities of each series shall be issuable in registered form without coupons in such denominations as shall be specified as contemplated by Section 2.02. In the absence of any such specification with respect to the Securities of any series, the Securities of such series shall be issuable in denominations of $1,000 and any multiple thereof. Securities of each series shall be numbered, lettered or otherwise distinguished in such manner or in accordance with such plan as the officers of the Company executing the same may determine with the approval of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Security shall be dated the date of its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person in whose name any Security of a particular series is registered at the close of business on any record date (as hereinafter defined) with respect to any interest payment date for such series shall be entitled to receive the interest payable on such interest payment date notwithstanding the cancellation of such Security upon any registration of transfer or exchange subsequent to the record date and prior to such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and to the extent that the Company shall default in the payment of the interest due on such interest payment date, such defaulted interest shall be paid to the persons in whose names Outstanding Securities of such series are registered on a subsequent record date established by notice given by or on behalf of the Company to the holders of such Securities not less than 15 days preceding such subsequent record date, such record date to be not less than five days preceding the date of payment of such defaulted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as contemplated by Section 2.02 for Securities of a particular series, the term “record date” as used in this Section 2.04 with respect to any regular interest payment date, shall mean, the last day of the calendar month preceding such interest payment date if such interest payment date is the fifteenth day of such calendar month, and shall mean the fifteenth day of the calendar month preceding such interest payment date if such interest payment date is the first day of a calendar month, whether or not such day shall be a day on which banking institutions in The City of New York or the location of any office of the Trustee charged with responsibility under this Indenture are authorized or required by law or executive order to close or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Securities may at the option of the Company be paid by check mailed to the persons entitled thereto at their respective addresses as such appear on the registry books of the Company or by wire transfer in immediately available funds at such place and to such account as designated in writing by the Person entitled thereto as specified in the Security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Execution of Securities</w:t>
      </w:r>
      <w:r>
        <w:rPr>
          <w:rFonts w:ascii="Times New Roman;Times;Serif" w:hAnsi="Times New Roman;Times;Serif"/>
          <w:b w:val="false"/>
          <w:i w:val="false"/>
          <w:caps w:val="false"/>
          <w:smallCaps w:val="false"/>
          <w:sz w:val="20"/>
        </w:rPr>
        <w:t>. The Securities shall be signed in the name and on behalf of the Company by the manual or facsimile signature of any one of the Company’s Authorized Officers. Only such Securities as shall bear thereon a certificate of authentication substantially in the form herein recited, executed by the Trustee by the manual signature of an authorized officer, shall be entitled to the benefits of this Indenture or be valid or obligatory for any purpose. Such certificate by the Trustee upon any Security executed by the Company shall be conclusive evidence that the Security so authenticated has been duly authenticated and delivered hereunder and that the holder is entitled to the benefits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Securities shall cease to be such officer before the Securities so signed shall have been authenticated and delivered by the Trustee, or disposed of by the Company, such Securities nevertheless may be authenticated and delivered or disposed of as though the person who signed such Securities had not ceased to be such officer of the Company; and any Security may be signed on behalf of the Company by such persons as, at the actual date of the execution of such Security, shall be the proper officers of the Company, although at the date of the execution of this Indenture any such person was not such an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Exchange and Registration of Transfer of Securities</w:t>
      </w:r>
      <w:r>
        <w:rPr>
          <w:rFonts w:ascii="Times New Roman;Times;Serif" w:hAnsi="Times New Roman;Times;Serif"/>
          <w:b w:val="false"/>
          <w:i w:val="false"/>
          <w:caps w:val="false"/>
          <w:smallCaps w:val="false"/>
          <w:sz w:val="20"/>
        </w:rPr>
        <w:t>. Securities of any series may be exchanged for a like aggregate principal amount of Securities of the same series of other authorized denominations. Securities to be exchanged shall be surrendered, at the option of the holders thereof, either at the office or agency designated and maintained by the Company for such purpose in accordance with the provisions of Section 4.02 or at any of such other offices or agencies as may be designated and maintained by the Company for such purpose in accordance with the provisions of Section 4.02, and the Company shall execute and register and the Trustee shall authenticate and deliver in exchange therefor the Security or Securities which the Security holder making the exchange shall be entitled to receive. Each person designated by the Company pursuant to the provisions of Section 4.02 as a person authorized to register and register transfer of the Securities is sometimes herein referred to as a “Security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keep, at each such office or agency, a register for each series of Securities issued hereunder (the registers of all Security registrars being herein sometimes collectively referred to as the “Security register” or the “registry books of the Company”) in which, subject to such reasonable regulations as it may prescribe, the Company shall register Securities and shall register the transfer of Securities as in this Article Two provided. The Security register shall be in written form or in any other form capable of being converted into written form within a reasonable time. At all reasonable times the Security registrar shall be open for inspection by the Trustee and any Security registrar other than the Trustee. Upon due presentment for registration or registration of transfer of any Security of any series at any designated office or agency, the Company shall execute and register and the Trustee shall authenticate and deliver in the name of the transferee or transferees a new Security or Securities of the same series for an equal aggregate principal amount. Registration or registration of transfer of any Security by any Security registrar in the registry books of the Company maintained by such Security registrar, and delivery of such Security, duly authenticated, shall be deemed to complete the registration or registration of transfer of such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at any time be designated as or act as a Security registrar unless such person is at such time empowered under applicable law to act as such under and to the extent required by applicable law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for registration of transfer or for exchange, redemption or payment shall (if so required by the Company or the Trustee) be duly endorsed by, or be accompanied by a written instrument or instruments of transfer or exchange in form satisfactory to the Company and the Trustee duly executed by, the holder or his attorney duly authorized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exchange or registration of transfer of Securities, but the Company may require payment of a sum sufficient to cover any tax or other governmental charge that may be imposed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to exchange or register a transfer of (a) any Securities of any series for the period of 15 days next preceding the selection of Securities of that series to be redeemed and thereafter until the date of delivery of a notice of redemption of Securities of that series selected for redemption, or (b) any Securities selected, called or being called for redemption in whole or in part except, in the case of any Security to be redeemed in part, the portion thereof not so to be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clauses (a), (b), (c), (d), (e), (f) and (g) below shall apply only to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Global Security authenticated under this Indenture shall be registered in the name of the Depositary designated for such Global Security or a nominee thereof and delivered to such Depositary or nominee thereof or custodian therefor, and each such Global Security shall constitute a single Security for all purposes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its services as Depositary for such Global Security and no successor Depositary has been appointed within 90 days after such notice or (ii) ceases to be a “clearing agency” registered under Section 17A of the Securities Exchange Act of 1934 when the Depositary is required to be so registered to act as the Depositary and so notifies the Company, and no successor Depositary has been appointed within 90 days after such notice, (B) the Company determines at any time that the Securities shall no longer be represented by Global Securities and shall inform such Depositary of such determination and participants in such Depositary elect to withdraw their beneficial interests in the Securities from such Depositary, following notification by the Depositary of their right to do so, or (C) such exchange is made upon request by or on behalf of the Depositary in accordance with customary procedures, following the request of a Beneficial Owner seeking to exercise or enforce its rights under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clause (b)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Every Security authenticated and delivered upon registration of transfer of, or in exchange for or in lieu of, a Global Security or any portion thereof shall be authenticated and delivered in the form of, and shall be, a Global Security, unless such Security is registered in the name of a Person other than the Depositary for such Global Security or a nominee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the provisions of clause (g) below, the registered Holder may grant proxies and otherwise authorize any Person, including Agent Members (as defined below in clause (g)) and Persons that may hold interests through Agent Members, to take any action which a Holder is entitled to take under this Indenture or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event of the occurrence of any of the events specified in clause (b) above, the Company will promptly make available to the Trustee a reasonable supply of certificated Securities in definitive, fully registered form, without interest coupons.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any members of, or participants in, the Depositary (collectively, the “</w:t>
      </w:r>
      <w:r>
        <w:rPr>
          <w:rFonts w:ascii="Times New Roman;Times;Serif" w:hAnsi="Times New Roman;Times;Serif"/>
          <w:b/>
          <w:i w:val="false"/>
          <w:caps w:val="false"/>
          <w:smallCaps w:val="false"/>
          <w:sz w:val="20"/>
        </w:rPr>
        <w:t>Agent Members</w:t>
      </w:r>
      <w:r>
        <w:rPr>
          <w:rFonts w:ascii="Times New Roman;Times;Serif" w:hAnsi="Times New Roman;Times;Serif"/>
          <w:b w:val="false"/>
          <w:i w:val="false"/>
          <w:caps w:val="false"/>
          <w:smallCaps w:val="false"/>
          <w:sz w:val="20"/>
        </w:rPr>
        <w:t>”) nor any other Persons on whose behalf Agent Members may act shall have any rights under this Indenture with respect to any Global Security registered in the name of the Depositary or any nominee thereof, or under any such Global Security, and the Depositary or such nominee, as the case may be, may be treated by the Company, the Trustee and any agent of the Company or the Trustee as the absolute owner and holder of such Global Security for all purposes whatsoever (aside from the delivery of any notices). Notwithstanding the foregoing, nothing herein shall prevent the Company or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Mutilated, Destroyed, Lost or Stolen Securities</w:t>
      </w:r>
      <w:r>
        <w:rPr>
          <w:rFonts w:ascii="Times New Roman;Times;Serif" w:hAnsi="Times New Roman;Times;Serif"/>
          <w:b w:val="false"/>
          <w:i w:val="false"/>
          <w:caps w:val="false"/>
          <w:smallCaps w:val="false"/>
          <w:sz w:val="20"/>
        </w:rPr>
        <w:t>. In case any temporary or definitive Security shall become mutilated or be destroyed, lost or stolen, the Company in the case of a mutilated Security shall, and in the case of a lost, stolen or destroyed Security may in its discretion, execute and, upon the written request or authorization of any officer of the Company, the Trustee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to the Trustee such security or indemnity as may be required by them to save each of them harmless from any loss or liability which any of them may suffer if a Security is replaced and subsequently presented or claimed for payment and, in every case of destruction, loss or theft, the applicant shall also furnish the Company and to the Trustee evidence to their satisfaction of the destruction, loss or theft of such Security and the ownership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substituted Security, the Company may require the payment of a sum sufficient to cover any tax or other governmental charge that may be imposed in relation thereto and any other expenses connected therewith. In case any Security which has matured or is about to mature shall become mutilated or be destroyed, lost or stolen, the Company may, instead of issuing a substituted Security, pay or authorize the payment of the same (without surrender thereof except in the case of a mutilated Security) if the applicant for such payment shall furnish to the Company and to the Trustee such security or indemnity as may be required by them to save each of them harmless from any loss or liability which any of them may suffer if a Security is replaced and subsequently presented or claimed for payment and, in case of destruction, loss or theft, evidence satisfactory to the Company and the Trustee of the destruction, loss or theft of such Security and the ownership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substituted Security issued pursuant to the provisions of this Section 2.07 by virtue of the fact that any Security is destroyed, lost or stolen shall constitute an additional contractual obligation of the Company, whether or not the destroyed, lost or stolen Security shall be found at any time,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with respect to the replacement or payment of negotiable instruments or other securities without their surrender.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Temporary Securities</w:t>
      </w:r>
      <w:r>
        <w:rPr>
          <w:rFonts w:ascii="Times New Roman;Times;Serif" w:hAnsi="Times New Roman;Times;Serif"/>
          <w:b w:val="false"/>
          <w:i w:val="false"/>
          <w:caps w:val="false"/>
          <w:smallCaps w:val="false"/>
          <w:sz w:val="20"/>
        </w:rPr>
        <w:t>. Pending the preparation of definitive Securities of any series the Company may execute and the Trustee shall authenticate and deliver temporary Securities (printed, lithographed or typewritten). Temporary Securities shall be issuable in any authorized denomination and substantially in the form of the definitive Securities in lieu of which they are issued, but with such omissions, insertions and variations as may be appropriate for temporary Securities, all as may be determined by the Company. Every such temporary Security shall be authenticated by the Trustee upon the same conditions and in substantially the same manner, and with the same effect, as the definitive Securities in lieu of which they are issued. Without unreasonable delay the Company will execute and deliver to the Trustee definitive Securities of such series and thereupon any or all temporary Securities of such series may be surrendered in exchange therefor, at the option of the holders thereof, either at the office or agency to be designated and maintained by the Company for such purpose in accordance with the provisions of Section 4.02 or at any of such other offices or agencies as may be designated and maintained by the Company for such purpose in accordance with the provisions of Section 4.02, and the Trustee shall authenticate and deliver in exchange for such temporary Securities an equal aggregate principal amount of definitive Securities of the same series. Such exchange shall be made by the Company at its own expense and without any charge therefor. Until so exchanged, the temporary Securities of any series shall in all respects be entitled to the same benefits under this Indenture as definitive Securities of the same series authenticated and delivered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Cancellation of Securities Paid, etc</w:t>
      </w:r>
      <w:r>
        <w:rPr>
          <w:rFonts w:ascii="Times New Roman;Times;Serif" w:hAnsi="Times New Roman;Times;Serif"/>
          <w:b w:val="false"/>
          <w:i w:val="false"/>
          <w:caps w:val="false"/>
          <w:smallCaps w:val="false"/>
          <w:sz w:val="20"/>
        </w:rPr>
        <w:t>. All Securities surrendered for the purpose of payment, redemption, repayment, exchange or registration of transfer or for credit against any sinking fund shall, if surrendered to the Company, any Security registrar, any paying agent or any other agent of the Company or of the Trustee, be delivered to the Trustee and promptly cancelled by it, or, if surrendered to the Trustee, shall be promptly cancelled by it, and no Securities shall be issued in lieu thereof except as expressly permitted by any of the provisions of this Indenture. The Trustee may dispose of cancelled Securities in accordance with its customary procedures and deliver a certificate of such disposition to the Company or, at the written request of the Company, shall deliver cancelled Securities to the Company. If the Company shall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Computation of Interest</w:t>
      </w:r>
      <w:r>
        <w:rPr>
          <w:rFonts w:ascii="Times New Roman;Times;Serif" w:hAnsi="Times New Roman;Times;Serif"/>
          <w:b w:val="false"/>
          <w:i w:val="false"/>
          <w:caps w:val="false"/>
          <w:smallCaps w:val="false"/>
          <w:sz w:val="20"/>
        </w:rPr>
        <w:t>. Except as otherwise specified as contemplated by Section 2.02 for Securities of any series, interest on the Securities of each series shall be computed on the basis of a 360-day year of twelve 30-day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Form of Legend for Global Securities</w:t>
      </w:r>
      <w:r>
        <w:rPr>
          <w:rFonts w:ascii="Times New Roman;Times;Serif" w:hAnsi="Times New Roman;Times;Serif"/>
          <w:b w:val="false"/>
          <w:i w:val="false"/>
          <w:caps w:val="false"/>
          <w:smallCaps w:val="false"/>
          <w:sz w:val="20"/>
        </w:rPr>
        <w:t>. Unless otherwise specified as contemplated by Section 2.02 for the Securities evidenced thereby, every Global Security authenticated and delivered hereunder shall bear a legend in substantially the following form (or such other form as a securities exchange or Depositary may request or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DEPOSITORY TRUST COMPANY OR A NOMINEE OF THE DEPOSITORY TRUST COMPANY. THIS SECURITY IS EXCHANGEABLE FOR SECURITIES REGISTERED IN THE NAME OF A PERSON OTHER THAN THE DEPOSITORY TRUST COMPANY OR ITS NOMINEE ONLY IN THE LIMITED CIRCUMSTANCES DESCRIBED IN THE INDENTURE AND MAY NOT BE TRANSFERRED EXCEPT AS A WHOLE BY THE DEPOSITORY TRUST COMPANY TO A NOMINEE OF THE DEPOSITORY TRUST COMPANY OR BY A NOMINEE OF THE DEPOSITORY TRUST COMPANY TO THE DEPOSITORY TRUST COMPANY OR ANOTHER NOMINEE OF THE DEPOSITORY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r>
        <w:rPr>
          <w:rFonts w:ascii="Times New Roman;Times;Serif" w:hAnsi="Times New Roman;Times;Serif"/>
          <w:b w:val="false"/>
          <w:i w:val="false"/>
          <w:caps/>
          <w:sz w:val="20"/>
        </w:rPr>
        <w:br/>
        <w:t>REDEMPTION OF SECURITIES; SINKING FUNDS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Applicability of Article</w:t>
      </w:r>
      <w:r>
        <w:rPr>
          <w:rFonts w:ascii="Times New Roman;Times;Serif" w:hAnsi="Times New Roman;Times;Serif"/>
          <w:b w:val="false"/>
          <w:i w:val="false"/>
          <w:caps w:val="false"/>
          <w:smallCaps w:val="false"/>
          <w:sz w:val="20"/>
        </w:rPr>
        <w:t>. The provisions of this Article shall be applicable, as the case may be, (i) to the Securities of any series which are redeemable before their maturity and (ii) to any sinking fund for the retirement of Securities of any series, in either case except as otherwise specified as contemplated by Section 2.02 for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Notice of Redemption; Selection of Securities</w:t>
      </w:r>
      <w:r>
        <w:rPr>
          <w:rFonts w:ascii="Times New Roman;Times;Serif" w:hAnsi="Times New Roman;Times;Serif"/>
          <w:b w:val="false"/>
          <w:i w:val="false"/>
          <w:caps w:val="false"/>
          <w:smallCaps w:val="false"/>
          <w:sz w:val="20"/>
        </w:rPr>
        <w:t>. In case the Company shall desire to exercise any right to redeem all, or, as the case may be, any part of, the Securities of any series in accordance with their terms, it shall fix a date for redemption and shall deliver or cause to be delivered a notice of such redemption at least 10 and not more than 60 days prior to the date fixed for redemption to the holders of Securities of such series so to be redeemed as a whole or in part at their last addresses as the same appear on the registry books of the Registrar and to the Trustee, except as the resolutions adopted by the Board of Directors to establish the terms of any series of Securities may otherwise provide. The notice shall be conclusively presumed to have been duly given, whether or not the holder receives such notice. In any case, failure to give such notice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specify the date fixed for redemption, the redemption price at which the Securities of such series are to be redeemed (or if not then ascertainable, the manner of calculation thereof), the place or places of payment, that payment will be made upon presentation and surrender of such Securities, that any interest accrued to the date fixed for redemption will be paid as specified in said notice and that on and after said date any interest thereon or on the portions thereof to be redeemed will cease to accrue. Where the redemption price is not ascertainable at the time the notice of redemption is given as aforesaid, the Company shall notify the Trustee of said redemption price promptly after the calculation thereof. If less than all the Securities of a series are to be redeemed, the notice of redemption shall specify the number or numbers of the Securities of that series to be redeemed.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that series in principal amount equal to the unredeemed portion thereof will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prior to 10:00 a.m. New York City time on the redemption date specified in the notice of redemption given as provided in this Section 3.02, the Company will deposit with the Trustee or with one or more paying agents (or, if the Company is acting as its own paying agent, will segregate and hold in trust as provided in Section 4.04) an amount of money sufficient to redeem on the redemption date all the Securities or portions thereof so called for redemption, together with accrued interest to the date fixed for redemption. If less than all the Securities of a series are to be redeemed, (i) the Company will give the Trustee notice not less than 10 days (or such shorter period as may be acceptable to the Trustee) prior to the redemption date as to the aggregate principal amount of Securities of such series to be redeemed and (ii)(x) if such Securities are at the time represented by a Global Security, then the Depositary shall select by lot (or otherwise, as required by the Depositary) the particular interests to be redeemed or (y) if any of such Securities are not represented by a Global Security, then the Trustee shall select or cause to be selected, in such manner as in its sole discretion it shall deem appropriate and fair, the Securities of that series or portions thereof to be redeemed. Securities of a series may be redeemed in part only in multiples of the smallest authorized denomination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Payment of Securities Called for Redemption</w:t>
      </w:r>
      <w:r>
        <w:rPr>
          <w:rFonts w:ascii="Times New Roman;Times;Serif" w:hAnsi="Times New Roman;Times;Serif"/>
          <w:b w:val="false"/>
          <w:i w:val="false"/>
          <w:caps w:val="false"/>
          <w:smallCaps w:val="false"/>
          <w:sz w:val="20"/>
        </w:rPr>
        <w:t xml:space="preserve">. If notice of redemption has been given as provided in Section 3.02 or Section 3.05, the Securities or portions of Securities of the series with respect to which such notice has been given shall become due and payable on the date and at the place or places stated in such notice at the applicable redemption price, together with any interest accrued to the date fixed for redemption, and on and after said date (unless the Company shall default in the payment of such Securities or portions of such Securities, together with any interest accrued to said date) any interest on the Securities of such series or portions of Securities of such series so called for redemption shall cease to accrue. On presentation and surrender of such Securities at a place of payment in said notice specified, the said Securities or the specified portions thereof shall be paid and redeemed by the Company at the applicable redemption price, together with any interest accrued thereon to the date fixed for redemption;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regularly scheduled installment of interest becoming due on or prior to the date fixed for redemption shall be payable to holders of such Securities registered as such on the relevant record date according to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redeemed in part only, the Company shall execute and the Trustee shall authenticate and deliver to the holder thereof, at the expense of the Company, a new Security or Securities of the same series, of authorized denominations, in aggregate principal amount equal to the unredeemed portion of the Security so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Satisfaction of Mandatory Sinking Fund Payments with Securities</w:t>
      </w:r>
      <w:r>
        <w:rPr>
          <w:rFonts w:ascii="Times New Roman;Times;Serif" w:hAnsi="Times New Roman;Times;Serif"/>
          <w:b w:val="false"/>
          <w:i w:val="false"/>
          <w:caps w:val="false"/>
          <w:smallCaps w:val="false"/>
          <w:sz w:val="20"/>
        </w:rPr>
        <w:t xml:space="preserve">. In lieu of making all or any part of any mandatory sinking fund payment with respect to any Securities of a series in cash, the Company may at its option (a) deliver to the Trustee Securities of that series theretofore purchased or otherwise acquired by the Company or (b) receive credit for the principal amount of Securities of that series which have been redeemed either at the election of the Company pursuant to the terms of such Securities or through the application of permitted optional sinking fund payments pursuant to the terms of such Securities;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Securities have not been previously so credited. Such Securities shall be received and credited for such purpose by the Trustee at the redemption price specified in such Securities for redemption through operation of the sinking fund and the amount of such mandatory sinking fund payment shall be reduced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Redemption of Securities for Sinking Fund</w:t>
      </w:r>
      <w:r>
        <w:rPr>
          <w:rFonts w:ascii="Times New Roman;Times;Serif" w:hAnsi="Times New Roman;Times;Serif"/>
          <w:b w:val="false"/>
          <w:i w:val="false"/>
          <w:caps w:val="false"/>
          <w:smallCaps w:val="false"/>
          <w:sz w:val="20"/>
        </w:rPr>
        <w:t>. Not less than 10 days prior to each sinking fund payment date for any series of Securities, the Company will deliver to the Trustee a certificate signed by any Authorized Officer specifying the amount of the next ensuing sinking fund payment for that series pursuant to the terms of that series, the portion thereof, if any, which is to be satisfied by payment of cash (which cash may be deposited with the Trustee or with one or more paying agents or, if the Company is acting as its own paying agent, segregated and held in trust as provided in Section 4.04) and the portion thereof, if any, which is to be satisfied by delivering and crediting Securities of that series pursuant to Section 3.04 (which Securities, if not theretofore delivered, will accompany such certificate) and whether the Company intends to exercise its right to make a permitted optional sinking fund payment with respect to such series. Such certificate shall also state that no Event of Default has occurred and is continuing with respect to such series. 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(or to deliver the Securities specified in this paragraph), the sinking fund payment due on the next succeeding sinking fund payment date for that series shall be paid entirely in cash and shall be sufficient to redeem the principal amount of such Securities subject to a mandatory sinking fund payment without the option to deliver or credit Securities as provided in Section 3.04 and without the right to make any optional sinking fund payment, if any, with respect to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sinking fund payment or payments (mandatory or optional) made in cash plus any unused balance of any preceding sinking fund payments made in cash which shall equal or exceed $100,000 or the equivalent amount in the Specified Currency (if other than Dollars) (or a lesser sum if the Company shall so request or determine) with respect to the Securities of any particular series shall be applied by the Trustee (or by the Company if the Company is acting as its own paying agent) on the sinking fund payment date on which such payment is made (or, if such payment is made before a sinking fund payment date, on the next sinking fund payment date following the date of such payment) to the redemption of such Securities at the redemption price specified in such Securities for operation of the sinking fund together with accrued interest, if any, to the date fixed for redemption. Any sinking fund moneys not so applied or allocated by the Trustee (or by the Company if the Company is acting as its own paying agent) to the redemption of Securities shall be added to the next cash sinking fund payment received by the Trustee (or if the Company is acting as its own paying agent, segregated and held in trust as provided in Section 4.04) for such series and, together with such payment (or such amount so segregated), shall be applied in accordance with the provisions of this Section 3.05. Any and all sinking fund moneys with respect to the Securities of any particular series held by the Trustee (or if the Company is acting as its own paying agent, segregated and held in trust as provided in Section 4.04) on the last sinking fund payment date with respect to Securities of such series and not held for the payment or redemption of particular Securities of such series shall be applied by the Trustee (or by the Company if the Company is acting as its own paying agent), together with other moneys, if necessary, to be deposited (or segregated) sufficient for the purpose, to the payment of the principal of the Securities of that series at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select or cause to be selected the Securities to be redeemed upon such sinking fund payment date in the manner specified in the last paragraph of Section 3.02, and the Company shall cause notice of the redemption thereof to be given in the manner provided in Section 3.02 except that the notice of redemption shall also state that the Securities are being redeemed by operation of the sinking fund. Such notice having been duly given, the redemption of such Securities shall be made upon the terms and in the manner stated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each sinking fund payment date, the Company shall pay to the Trustee in cash (or, if the Company is acting as its own paying agent, will segregate and hold in trust as provided in Section 4.04) a sum equal to any interest accrued to the date fixed for redemption of Securities or portions thereof to be redeemed on such sinking fund payment date pursuant to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the Trustee nor the Company shall redeem any Securities of a series with sinking fund moneys or deliver any notice of redemption of such Securities by operation of the sinking fund for such series during the continuance of a default in payment of interest, if any, on such Securities or of any Event of Default (other than an Event of Default occurring as a consequence of this paragraph) with respect to such Securities, except that if the notice of redemption of any such Securities shall theretofore have been delivered in accordance with the provisions hereof, the Trustee (or the Company if the Company is acting as its own paying agent) shall redeem such Securities if cash sufficient for that purpose shall be deposited with the Trustee (or segregated by the Company) for that purpose in accordance with the terms of this Article. Except as aforesaid, any moneys in the sinking fund for such series at the time when any such default or Event of Default shall occur and any moneys thereafter paid into such sinking fund shall, during the continuance of such default or Event of Default, be held as security for the payment of such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case such default or Event of Default shall have been cured or waived as provided herein, such moneys shall thereafter be applied on the next sinking fund payment date for such Securities on which such moneys may be applied pursuant to the provisions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Repayment at the Option of the Holder</w:t>
      </w:r>
      <w:r>
        <w:rPr>
          <w:rFonts w:ascii="Times New Roman;Times;Serif" w:hAnsi="Times New Roman;Times;Serif"/>
          <w:b w:val="false"/>
          <w:i w:val="false"/>
          <w:caps w:val="false"/>
          <w:smallCaps w:val="false"/>
          <w:sz w:val="20"/>
        </w:rPr>
        <w:t xml:space="preserve">. Any series of Securities may be made, by provision contained in or established pursuant to a supplemental indenture or a resolution of the Board of Directors pursuant to Section 2.02 hereof, subject to repayment, in whole or in part, at the option of the holder on a date or dates specified prior to maturity, at a price equal to 100% of the principal amount thereof, together with accrued interest to the date of repayment, on such notice as may be required,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holder of a Security may only elect partial repayment in an amount that will result in the portion of such Security that will remain Outstanding after such repayment constituting an authorized denomination, or combination thereof, of such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r>
        <w:rPr>
          <w:rFonts w:ascii="Times New Roman;Times;Serif" w:hAnsi="Times New Roman;Times;Serif"/>
          <w:b w:val="false"/>
          <w:i w:val="false"/>
          <w:caps/>
          <w:sz w:val="20"/>
        </w:rPr>
        <w:br/>
        <w:t>PARTICULAR COVENANTS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Payment of Principal, Premium and Interest</w:t>
      </w:r>
      <w:r>
        <w:rPr>
          <w:rFonts w:ascii="Times New Roman;Times;Serif" w:hAnsi="Times New Roman;Times;Serif"/>
          <w:b w:val="false"/>
          <w:i w:val="false"/>
          <w:caps w:val="false"/>
          <w:smallCaps w:val="false"/>
          <w:sz w:val="20"/>
        </w:rPr>
        <w:t>. The Company covenants and agrees for the benefit of each series of Securities that it will duly and punctually pay or cause to be paid the principal of, premium, if any, and interest, if any, on each of the Securities of that series at the places, at the respective times and in the manner provided in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Offices for Notices and Payments, etc</w:t>
      </w:r>
      <w:r>
        <w:rPr>
          <w:rFonts w:ascii="Times New Roman;Times;Serif" w:hAnsi="Times New Roman;Times;Serif"/>
          <w:b w:val="false"/>
          <w:i w:val="false"/>
          <w:caps w:val="false"/>
          <w:smallCaps w:val="false"/>
          <w:sz w:val="20"/>
        </w:rPr>
        <w:t>. As long as any of the Securities of a series remain Outstanding, the Company will designate and maintain an office or agency where the Securities of that series may be presented for payment, an office or agency where the Securities of that series may be presented for registration of transfer and for exchange as in this Indenture provided and an office or agency where notices and demands to or upon the Company in respect of the Securities of that series or of this Indenture may be served, not including service of process. In addition to such office or offices or agency or agencies, the Company may from time to time designate and maintain one or more additional offices or agencies where the Securities of that series may be presented for registration of transfer or for exchange, and the Company may from time to time rescind such designation, as it may deem desirable or expedient. The Company will give to the Trustee written notice of the location of each such office or agency and of any change of location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initially designates the corporate office of the Trustee as the office or agency of the Company where the Securities of each series may be presented for payment, for registration of transfer and for exchange as in this Indenture provided and where notices and demands to or upon the Company in respect of the Securities of each series or of this Indenture may be 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Appointment to Fill Vacancies in Trustee’s Office</w:t>
      </w:r>
      <w:r>
        <w:rPr>
          <w:rFonts w:ascii="Times New Roman;Times;Serif" w:hAnsi="Times New Roman;Times;Serif"/>
          <w:b w:val="false"/>
          <w:i w:val="false"/>
          <w:caps w:val="false"/>
          <w:smallCaps w:val="false"/>
          <w:sz w:val="20"/>
        </w:rPr>
        <w:t>. The Company, whenever necessary to avoid or fill a vacancy in the office of Trustee, will appoint, in the manner provided in Section 7.10, a successor trustee, so that there shall at all times be a Trustee with respect to each series of Securities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Provision as to Paying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shall appoint a paying agent other than the Trustee with respect to the Securities of any series, it will cause such paying agent to execute and deliver to the Trustee an instrument in which such agent shall agree with the Trustee, subject to the provisions of this Section 4.04: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it will hold all sums held by it as such agent for the payment of the principal of, premium, if any, or interest, if any, on the Securities of such series (whether such sums have been paid to it by the Company or by any other obligor on the Securities of such series) in trust for the benefit of the holders of the Securities of such series;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it will give the Trustee notice of any failure by the Company (or by any other obligor on the Securities of such series) to make any payment of the principal of, premium, if any, or interest, if any, on the Securities of such series when the same shall be due and payable;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at any time during the continuance of any failure by the Company (or by any other obligor on the Securities of such series) specified in the preceding paragraph (ii), such paying agent will, upon the written request of the Trustee, forthwith pay to the Trustee all sums so held in trust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with respect to the Securities of any series, it will, on or before each due date of the principal of, premium, if any, or interest, if any, on the Securities of such series, set aside, segregate and hold in trust for the benefit of the holders of such Securities a sum sufficient to pay such principal, premium, if any, or interest, if any, so becoming due and will promptly notify the Trustee of any failure to take such action and of any failure by the Company (or by any other obligor on the Securities of such series) to make any payment of the principal of, premium, if any, or interest, if any, on the Securities of such series when the same shall become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in this Section 4.04 to the contrary notwithstanding, the Company may, at any time, for the purpose of obtaining a satisfaction and discharge of this Indenture, or for any other reason, pay or cause to be paid to the Trustee all sums held in trust by it, or any paying agent hereunder, as required by this Section, such sums to be held by the Trustee upon the trusts herein contained.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Anything in this Section 4.04 to the contrary notwithstanding, the agreement to hold sums in trust as provided in this Section 4.04 is subject to Sections 12.05 and 12.06.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Whenever the Company shall have one or more paying agents with respect to the Securities of any series, it will, prior to each due date of the principal of, premium, if any, or interest, if any, on the Securities of such series, deposit with a designated paying agent a sum sufficient to pay the principal, premium, if any, and interest, if any, so becoming due, such sum to be held in trust for the benefit of the persons entitled to such principal, premium, if any, or interest, if any, and (unless such paying agent is the Trustee) the Company will promptly notify the Trustee of any failure so to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Statement as to Compliance</w:t>
      </w:r>
      <w:r>
        <w:rPr>
          <w:rFonts w:ascii="Times New Roman;Times;Serif" w:hAnsi="Times New Roman;Times;Serif"/>
          <w:b w:val="false"/>
          <w:i w:val="false"/>
          <w:caps w:val="false"/>
          <w:smallCaps w:val="false"/>
          <w:sz w:val="20"/>
        </w:rPr>
        <w:t>. The Company will furnish to the Trustee within 120 days after the end of each fiscal year of the Company, in each year (beginning in the year following the first date of issuance of any Securities under this Indenture) a brief certificate (which need not comply with Section 14.05) from the principal executive, financial or accounting officer of the Company as required by Section 314(a)(4) of the Trust Indenture Act of 1939. Except with respect to the receipt of Securities payments and any default or Event of Default information contained in the certificate delivered to it pursuant to this Section 4.05, the Trustee shall have no duty to review, ascertain or confirm the Company’s compliance with, or breach of, any representation, warranty or covenant made in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Additional Amounts</w:t>
      </w:r>
      <w:r>
        <w:rPr>
          <w:rFonts w:ascii="Times New Roman;Times;Serif" w:hAnsi="Times New Roman;Times;Serif"/>
          <w:b w:val="false"/>
          <w:i w:val="false"/>
          <w:caps w:val="false"/>
          <w:smallCaps w:val="false"/>
          <w:sz w:val="20"/>
        </w:rPr>
        <w:t>. If the Securities of a series provide for the payment of additional amounts, at least 10 days prior to the first interest payment date with respect to that series of Securities and at least 10 days prior to each date of payment of principal of, premium, if any,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gross negligence or bad faith on their part arising out of or in connection with actions taken or omitted by any of them in reliance on any Officer’s Certificate furnished pursuant to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there is mentioned, in any context, the payment of the principal of or any premium,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the payment of additional amounts in those provisions hereof where such express mention is not made.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r>
        <w:rPr>
          <w:rFonts w:ascii="Times New Roman;Times;Serif" w:hAnsi="Times New Roman;Times;Serif"/>
          <w:b w:val="false"/>
          <w:i w:val="false"/>
          <w:caps/>
          <w:sz w:val="20"/>
        </w:rPr>
        <w:br/>
        <w:t>SECURITYHOLDER LISTS AND REPORTS BY THE COMPANY AND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Securityholder Lists</w:t>
      </w:r>
      <w:r>
        <w:rPr>
          <w:rFonts w:ascii="Times New Roman;Times;Serif" w:hAnsi="Times New Roman;Times;Serif"/>
          <w:b w:val="false"/>
          <w:i w:val="false"/>
          <w:caps w:val="false"/>
          <w:smallCaps w:val="false"/>
          <w:sz w:val="20"/>
        </w:rPr>
        <w:t>. If and so long as the Trustee shall not be the Security registrar for the Securities of any series, the Company and any other obligor on the Securities will furnish or cause to be furnished to the Trustee a list in such form as the Trustee may reasonably require of the names and addresses of the holders of the Securities of such series pursuant to Section 312 of the Trust Indenture Act of 1939 (a) semi-annually not less than 15 days prior to the date for the payment of interest on such Securities, as hereinabove specified, as of such record date, and on dates to be determined pursuant to Section 2.02 for non-interest bearing Securities in each year, and (b) at such other times as the Trustee may request in writing, within thirty days after receipt by the Company of any such request as of a date not more than 15 days prior to the time such information is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Reports by the Company</w:t>
      </w:r>
      <w:r>
        <w:rPr>
          <w:rFonts w:ascii="Times New Roman;Times;Serif" w:hAnsi="Times New Roman;Times;Serif"/>
          <w:b w:val="false"/>
          <w:i w:val="false"/>
          <w:caps w:val="false"/>
          <w:smallCaps w:val="false"/>
          <w:sz w:val="20"/>
        </w:rPr>
        <w:t>. The Company covenants to file with the Trustee, within 15 days after the Company is required to file the same with the Securities and Exchange Commission, copies of the annual reports and of the information, documents and other reports that the Company is required to file with the Securities and Exchange Commission pursuant to Section 13 or Section 15(d) of the Securities Exchange Act of 1934 or pursuant to Section 314 of the Trust Indenture Act of 1939.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Trustee is under no duty to examine such reports, information or documents to ensure compliance with the provisions of this Indenture or to ascertain the correctness or otherwise of the information or the statements contained therein. The Trustee is entitled to assume such compliance and correctness unless a Responsible Officer of the Trustee is informed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Reports by the Trustee</w:t>
      </w:r>
      <w:r>
        <w:rPr>
          <w:rFonts w:ascii="Times New Roman;Times;Serif" w:hAnsi="Times New Roman;Times;Serif"/>
          <w:b w:val="false"/>
          <w:i w:val="false"/>
          <w:caps w:val="false"/>
          <w:smallCaps w:val="false"/>
          <w:sz w:val="20"/>
        </w:rPr>
        <w:t>. Any Trustee’s report required under Section 313(a) of the Trust Indenture Act of 1939 shall be transmitted as provided in Section 313(c) of the Trust Indenture Act of 1939, so long as any Securities are Outstanding hereunder, and shall be dated no more than 60 days prior to July 1 of each year.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r>
        <w:rPr>
          <w:rFonts w:ascii="Times New Roman;Times;Serif" w:hAnsi="Times New Roman;Times;Serif"/>
          <w:b w:val="false"/>
          <w:i w:val="false"/>
          <w:caps/>
          <w:sz w:val="20"/>
        </w:rPr>
        <w:br/>
        <w:t>REMEDIES OF THE TRUSTEE AND SECURITYHOLDERS ON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whenever used herein with respect to Securities of any series means any one of the following events and such other events as may be established with respect to the Securities of such series as contemplated by Section 2.02 hereof, continued for the period of time, if any, and after the giving of notice, if any, designated in this Indenture or as may be established with respect to such Securities as contemplated by Section 2.02 hereof, as the case may be, unless it is either inapplicable or is specifically deleted or modified in the applicable resolution of the Board of Directors or in the supplemental indenture under which such series of Securities is issued, as the case may be, as contemplated by Section 2.02: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the principal of, or premium, if any, on any Security of such series when and as the same shall become due and payable whether at maturity, upon redemption, by declaration, repayment or otherwise;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for 30 days in the payment of any installment of interest on any Security of such series when and as the same shall become due and payable;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making or satisfaction of any sinking fund payment or analogous obligation as and when the same shall become due and payable by the terms of the Securities of such series;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failure on the part of the Company duly to observe or perform any other of the covenants or agreements on the part of the Company in respect of the Securities of such series contained in this Indenture (other than a covenant or agreement in respect of the Securities of such series a default in whose observance or performance is elsewhere in this Section 6.01 specifically dealt with) continued for a period of 90 days after the date on which written notice of such failure, requiring the Company to remedy the same, shall have been given to the Company by the Trustee by registered mail, or to the Company and the Trustee by the holders of at least twenty-five percent in aggregate principal amount of the Securities of such series at the time Outstanding;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decree or order by a court having jurisdiction in the premises shall have been entered adjudging the Company bankrupt or insolvent, or approving as properly filed a petition seeking reorganization of the Company under the U.S. Federal Bankruptcy Code or any other similar applicable U.S. Federal or State law, and such decree or order shall have continued undischarged and unstayed for a period of 90 days; or a decree or order of a court having jurisdiction in the premises for the appointment of a receiver or liquidator or trustee or assignee (or other similar official) in bankruptcy or insolvency of the Company or of all or substantially all of the property of the Company, or for the winding up or liquidation of the affairs of the Company, shall have been entered, and such decree or order shall have continued undischarged and unstayed for a period of 90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institute proceedings to be adjudicated a voluntary bankrupt, or shall consent to the filing of a bankruptcy proceeding against the Company, or shall file a petition or answer or consent seeking reorganization under the U.S. Federal Bankruptcy Code or any other similar applicable U.S. Federal or State law, or shall consent to the filing of any such petition, or shall consent to the appointment of a receiver or liquidator or trustee or assignee (or other similar official) in bankruptcy or insolvency of it or of its property, or shall make an assignment for the benefit of creditors, or shall admit in writing the inability of the Company to pay its debts generally as they become due;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Event of Default provided in the applicable resolution of the Board of Directors or in the supplemental indenture under which such series of Securities is issued, as the case may be, as contemplated by Section 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as contemplated by Sections 6.01(e) or 6.01(f) occurs, the principal amount (or, if the Securities of such series are Original Issue Discount Securities, such portions of the principal amount as may be specified in the terms of such series) with respect to Securities of any series at the time Outstanding will become due and payable immediately. If any other Event of Default with respect to Securities of any series at the time Outstanding occurs and is continuing, then and in each and every such case, unless the principal of all of the Securities of such series shall have already become due and payable, either the Trustee or the holders of not less than twenty-five percent in aggregate principal amount of the Securities of such series then Outstanding hereunder, by notice in writing to the Company (and to the Trustee if given by Securityholders of such series), may declare the principal amount (or, if the Securities of such series are Original Issue Discount Securities, such portion of the principal amount as may be specified in the terms of such series) of all the Securities of such series to be due and payable immediately, and upon any such declaration the same shall become and shall be immediately due and payable, anything in this Indenture or in the Securities of such series contained to the contrary notwithstanding. This provision, however, is subject to the condition that if, at any time after the principal amount (or, if the Securities of such series are Original Issue Discount Securities, such portion of the principal amount as may be specified in the terms of such series) of the Securities of any series shall have been so declared or otherwise become due and payable, and before any judgment or decree for the payment of the moneys due shall have been obtained or entered as hereinafter provided, the Company shall pay or shall deposit with the Trustee a sum sufficient to pay all matured installments of interest, if any, upon all of the Securities of such series and the principal of, and premium, if any, on any and all Securities of such series which shall have become due otherwise than by acceleration (with interest on overdue installments of interest (to the extent that payment of such interest is enforceable under applicable law) and on such principal at the Overdue Rate applicable to such series, to the date of such payment or deposit) and all amounts payable to the Trustee pursuant to the provisions of Section 7.06, and any and all defaults under this Indenture with respect to such series of Securities, other than the nonpayment of principal of and accrued interest on Securities of such series which shall have become due solely by acceleration, shall have been remedied or cured or waived or provision shall have been made therefor to the satisfaction of the Trustee—then and in every such case the holders of a majority in aggregate principal amount of the Securities of such series then Outstanding, by written notice to the Company and to the Trustee, may waive all defaults with respect to such series and rescind and annul such declaration or acceleration and its consequences; but no such waiver or rescission and annulment shall extend to or shall affect any subsequent default or shall impair any right consequent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Trustee shall have proceeded to enforce any right under this Indenture and such proceeding shall have been discontinued or abandoned because of such rescission or annulment or for any other reason or shall have been determined adversely to the Trustee, then and in every such case the Company and the Trustee shall be restored respectively to their several positions and rights hereunder, and all rights, remedies and powers of the Company and the Trustee shall continue as though no such proceeding had been taken.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Payment of Securities on Default; Suit Therefor</w:t>
      </w:r>
      <w:r>
        <w:rPr>
          <w:rFonts w:ascii="Times New Roman;Times;Serif" w:hAnsi="Times New Roman;Times;Serif"/>
          <w:b w:val="false"/>
          <w:i w:val="false"/>
          <w:caps w:val="false"/>
          <w:smallCaps w:val="false"/>
          <w:sz w:val="20"/>
        </w:rPr>
        <w:t>. The Company covenants that (a) in case default shall be made in the payment of any installment of interest upon any Security of any series as and when the same shall become due and payable, and such default shall have continued for a period of 30 days, (b) in case default shall be made in the payment of the principal of, or premium, if any, on any Security of any series as and when the same shall become due and payable, whether at maturity of the Securities of that series or upon redemption or by declaration, repayment or otherwise or (c) in case of default in the making or satisfaction of any sinking fund payment or analogous obligation when the same becomes due by the terms of the Securities of any series—then, upon demand of the Trustee, the Company will pay to the Trustee, for the benefit of the holder of any such Security (or holders of any series of Securities in the case of clause (c) above) the whole amount that then shall have become due and payable on any such Security (or Securities of any such series in the case of clause (c) above) for principal, premium, if any, and interest, if any, with interest upon the overdue principal and premium, if any, and (to the extent that payment of such interest is enforceable under applicable law) upon the overdue installments of interest, if any, at the Overdue Rate applicable to any such Security (or Securities of any such series in the case of clause (c) above); and, in addition thereto, such further amount as shall be sufficient to cover costs and expenses of collection, and any further amounts payable to the Trustee pursuant to the provisions of Section 7.06.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Company shall fail forthwith to pay such amounts upon such demand, the Trustee, in its own name and as trustee of any express trust, shall be entitled and empowered to institute any actions or proceedings at law or in equity for the collection of the sums so due and unpaid, and may prosecute any such action or proceeding to judgment or final decree, and may enforce any such judgment or final decree against the Company or any other obligor upon such Securities and collect in the manner provided by law out of the property of the Company or any other obligor on such Securities wherever situated the moneys adjudged or decreed to be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there shall be pending proceedings for the bankruptcy, for the insolvency or for the reorganization of the Company or any other obligor on the Securities of any series under the U.S. Federal Bankruptcy Code or any other similar applicable U.S. Federal or State law, or in case a receiver or trustee (or other similar official) shall have been appointed for the property of the Company or such other obligor, or in the case of any other similar judicial proceedings relative to the Company or other obligor on the Securities of any series, or to the creditors or property of the Company or such other obligor, the Trustee, irrespective of whether the principal of the Securities of any series shall then be due and payable as therein expressed or by declaration or otherwise and irrespective of whether the Trustee shall have made any demand pursuant to the provisions of this Section 6.02, shall be entitled and empowered, by intervention in such proceedings or otherwise, to file and prove a claim or claims for the whole amount of principal (or, if the Securities of any series are Original Issue Discount Securities, such portion of the principal amount as may be due and payable with respect to such series pursuant to a declaration in accordance with Section 6.01), premium, if any, and interest, if any, owing and unpaid in respect of the Securities of any series and, in case of any judicial proceedings, to file such proofs of claim and other papers or documents as may be necessary or advisable in order to have the claims of the Trustee and of the Securityholders of any series allowed in such judicial proceedings relative to the Company or any other obligor on the Securities of any series, its or their creditors, or its or their property, and to collect and receive any moneys or other property payable or deliverable on any such claims, and to distribute the same after the deduction of costs and expenses of collection, and any further amounts payable to the Trustee pursuant to the provisions of Section 7.06 and incurred by it up to the date of such distribution; and any receiver, assignee or trustee (or other similar official) in bankruptcy or reorganization is hereby authorized by each of the Securityholders to make such payments to the Trustee, and, in the event that the Trustee shall consent to the making of such payments directly to the Securityholders, to pay to the Trustee costs and expenses of collection and any further amounts payable to the Trustee pursuant to the provisions of Section 7.06 and incurred by it up to the date of such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Securityholder any plan of reorganization, arrangement, adjustment or composition affecting any of the Securities of any series or the rights of any holder thereof, or to authorize the Trustee to vote in respect of the claim of any Securityholder in any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Application of Moneys Collected by Trustee</w:t>
      </w:r>
      <w:r>
        <w:rPr>
          <w:rFonts w:ascii="Times New Roman;Times;Serif" w:hAnsi="Times New Roman;Times;Serif"/>
          <w:b w:val="false"/>
          <w:i w:val="false"/>
          <w:caps w:val="false"/>
          <w:smallCaps w:val="false"/>
          <w:sz w:val="20"/>
        </w:rPr>
        <w:t>. Any moneys collected by the Trustee pursuant to this Article and, if an Event of Default has occurred and is continuing, any money or other property distributable in respect of the Company’s obligations under the Indenture shall be applied in the order following, at the date or dates fixed by the Trustee for the distribution of such moneys, upon presentation of the several Securities in respect of which moneys have been collected, and the notation thereon of the payment, if only partially paid, and upon surrender thereof if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(acting in any capacity hereunder) pursuant to the provisions of Section 7.06;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In case the principal of the Outstanding Securities in respect of which such moneys have been collected shall not have become due (at maturity, upon redemption, by declaration, repayment or otherwise) and be unpaid, to the payment of interest, if any, on such Securities, in the order of the maturity of the installments of such interest, with interest (to the extent that such interest has been collected by the Trustee) upon the overdue installments of interest at the Overdue Rate applicable to such Securities, such payments to be made ratably to the person entitled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In case the principal of the Outstanding Securities in respect of which such moneys have been collected shall have become due (at maturity, upon redemption, by declaration, repayment or otherwise), to the payment of the whole amount then owing and unpaid upon such Securities for principal, premium, if any, and interest, if any, with interest on the overdue principal, and premium, if any, and (to the extent that such interest has been collected by the Trustee) upon overdue installments of interest, if any, at the Overdue Rate applicable to such Securities; and in case such moneys shall be insufficient to pay in full the whole amounts so due and unpaid upon such Securities, then to the payment of such principal, premium, if any, and interest, if any, without preference or priority of principal, and premium, if any, over interest, if any, or of interest, if any, over principal, and premium, if any, or of any installment of interest, if any, over any other installment of interest, if any, or of any such Security over any other such Security, ratably to the aggregate of such principal, premium, if any, and accrued and unpaid interest, if any;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Company, its successors or assigns, or to whosoever may be lawfully entitled to receive the same, or as a court of competent jurisdiction may direct.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Proceedings by Securityholders</w:t>
      </w:r>
      <w:r>
        <w:rPr>
          <w:rFonts w:ascii="Times New Roman;Times;Serif" w:hAnsi="Times New Roman;Times;Serif"/>
          <w:b w:val="false"/>
          <w:i w:val="false"/>
          <w:caps w:val="false"/>
          <w:smallCaps w:val="false"/>
          <w:sz w:val="20"/>
        </w:rPr>
        <w:t>. No holder of any Security of any series shall have any right by virtue of or by availing of any provision of this Indenture to institute any suit, action or proceeding in equity or at law upon or under or with respect to this Indenture or for the appointment of a receiver or trustee (or other similar official), or for any other remedy hereunder, unless (i) such holder previously shall have given to the Trustee written notice of an Event of Default with respect to Securities of such series and of the continuance thereof, as hereinbefore provided, (ii) the holders of not less than twenty-five percent in aggregate principal amount of the Securities of such series then Outstanding shall have made written request upon the Trustee to institute such action, suit or proceeding in its own name as Trustee hereunder and shall have offered to the Trustee such security and indemnity as it may require against loss, the costs, expenses and liabilities to be incurred therein or thereby, and (iii) the Trustee for 60 days after its receipt of such notice, request and offer of indemnity, shall not have received from the holders of a majority in principal amount of the Securities of such series then Outstanding a direction inconsistent with that request, and shall have neglected or refused to institute any such action, suit or proceeding, it being understood and intended, and being expressly covenanted by the taker and holder of every Security with every other taker and holder and the Trustee, that no one or more holders of Securities of such series shall have any right in any manner whatever by virtue or by availing of any provision of this Indenture to affect, disturb or prejudice the rights of any other holder of Securities of such series, or to obtain or seek to obtain priority over or preference to any other such holder, or to enforce any right under this Indenture, except in the matter herein provided and for the equal, ratable and common benefit of all holders of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in this Indenture, however, the right of any holder of any Security to receive payment of the principal of, premium, if any, and interest, if any, on such Security, on or after the respective due dates expressed in such Security, or upon redemption, by declaration, repayment or otherwise, or to institute suit for the enforcement of any such payment on or after such respective dates, shall not be impaired or affected without the consent of such holder, and no provision of the Securities of any series or of this Indenture shall alter or impair the obligation of the Company, which is absolute and unconditional, to pay the principal of, premium, if any, and interest, if any, on the Securities of such series at the respective places, at the respective times, at the respective rates and in the coin or currency, therein and herein prescribed.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Proceedings by Trustee</w:t>
      </w:r>
      <w:r>
        <w:rPr>
          <w:rFonts w:ascii="Times New Roman;Times;Serif" w:hAnsi="Times New Roman;Times;Serif"/>
          <w:b w:val="false"/>
          <w:i w:val="false"/>
          <w:caps w:val="false"/>
          <w:smallCaps w:val="false"/>
          <w:sz w:val="20"/>
        </w:rPr>
        <w:t>. In case of an Event of Default hereunder the Trustee may in its discretion proceed to protect and enforce the rights vested in it by this Indenture by such appropriate judicial proceedings as the Trustee shall deem most effectual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Remedies Cumulative and Continuing</w:t>
      </w:r>
      <w:r>
        <w:rPr>
          <w:rFonts w:ascii="Times New Roman;Times;Serif" w:hAnsi="Times New Roman;Times;Serif"/>
          <w:b w:val="false"/>
          <w:i w:val="false"/>
          <w:caps w:val="false"/>
          <w:smallCaps w:val="false"/>
          <w:sz w:val="20"/>
        </w:rPr>
        <w:t>. All powers and remedies given by this Article Six to the Trustee or to the Securityholders of any series shall, to the extent permitted by law, be deemed cumulative and not exclusive of any thereof or of any other powers and remedies available to the Trustee or the holders of such Securities, by judicial proceedings or otherwise, to enforce the performance or observance of the covenants and agreements contained in this Indenture, and no delay or omission of the Trustee or of any holder of any such Securities to exercise any right or power accruing upon any default occurring and continuing as aforesaid shall impair any such right or power, or shall be construed to be a waiver of any such default or an acquiescence therein; and, subject to the provisions of Section 6.04, every power and remedy given by this Article Six or by law to the Trustee or to the Securityholders of any series may be exercised from time to time, and as often as shall be deemed expedient, by the Trustee or by the Securityholders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Direction of Proceedings and Waiver of Defaults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holders of a majority in aggregate principal amount of the Securities of any series at the time Outstanding shall have the right to direct the time, method and place of conducting any proceeding for any remedy available to the Trustee, or exercising any trust or power conferred on the Trustee, with respect to the Securities of such series;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(subject to the provisions of Section 7.01) the Trustee shall have the right to decline to follow any such direction if the Trustee, being advised by counsel, determines that the action or proceeding so directed may not lawfully be taken or if the Trustee in good faith by its board of directors or trustees, executive committee, or a trust committee of directors or trustees and/or Responsible Officers shall determine that the action or proceeding so directed would involve the Trustee in personal liability or expense for which it is not adequately indemnified.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any acceleration or declaration accelerating the maturity of the Securities of any series, the holders of a majority in aggregate principal amount of the Securities of such series at the time Outstanding may, on behalf of the holders of all of the Securities of such series, waive any past default or Event of Default with respect to such series and its consequences except a default in the payment of interest, if any, on, or the principal of or premium, if any, on any Security of such series, or in the payment of any sinking fund installment or analogous obligation with respect to Securities of such series, or in respect of a covenant or provision hereof which under Section 10.02 cannot be modified or amended without the consent of the holder of each Security affected. Upon any such waiver the Company, the Trustee and the holders of the Securities of that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6.07(b), said default or Event of Default shall for all purposes of the Securities of such series and this Indenture be deemed to have been cured and to be not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The Trustee shall, within 90 days after the occurrence of a default with respect to the Securities of any series, deliver to all holders of Securities of such series, as the names and addresses of such holders appear upon the registry books of the Company, notice of all defaults with respect to such series actually known to the Trustee, unless such defaults shall have been cured or waived before the giving of such notice (the term “</w:t>
      </w:r>
      <w:r>
        <w:rPr>
          <w:rFonts w:ascii="Times New Roman;Times;Serif" w:hAnsi="Times New Roman;Times;Serif"/>
          <w:b/>
          <w:i w:val="false"/>
          <w:caps w:val="false"/>
          <w:smallCaps w:val="false"/>
          <w:sz w:val="20"/>
        </w:rPr>
        <w:t>defaults</w:t>
      </w:r>
      <w:r>
        <w:rPr>
          <w:rFonts w:ascii="Times New Roman;Times;Serif" w:hAnsi="Times New Roman;Times;Serif"/>
          <w:b w:val="false"/>
          <w:i w:val="false"/>
          <w:caps w:val="false"/>
          <w:smallCaps w:val="false"/>
          <w:sz w:val="20"/>
        </w:rPr>
        <w:t xml:space="preserve">” for the purpose of this Section 6.08 being hereby defined to be the events specified in Section 6.01 or established with respect to such Securities as contemplated by Section 2.02, not including the periods of grace, if any, provided for therein or established with respect to such Securities as contemplated by Section 2.02 and irrespective of the giving of the notices specified in clauses (d) and (e) of Section 6.01 or established with respect to such Securities as contemplated by Section 2.02);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in the case of default in the payment of the principal of, premium, if any, or interest, if any, on any of the Securities of such series or in the making of any sinking fund installment or analogous obligation with respect to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 of Securities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val="false"/>
          <w:i w:val="false"/>
          <w:caps w:val="false"/>
          <w:smallCaps w:val="false"/>
          <w:sz w:val="20"/>
          <w:u w:val="single"/>
        </w:rPr>
        <w:t>Undertaking to Pay Costs</w:t>
      </w:r>
      <w:r>
        <w:rPr>
          <w:rFonts w:ascii="Times New Roman;Times;Serif" w:hAnsi="Times New Roman;Times;Serif"/>
          <w:b w:val="false"/>
          <w:i w:val="false"/>
          <w:caps w:val="false"/>
          <w:smallCaps w:val="false"/>
          <w:sz w:val="20"/>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omitted or suffered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6.09 shall not apply (i) to any suit instituted by the Trustee, (ii) to any suit instituted by any holder of Securities of any series or group of such holders, holding in the aggregate more than ten percent in principal amount of the Outstanding Securities of such series or (iii) to any suit instituted by any Securityholder for the enforcement of the payment of the principal of, premium, if any, or interest, if any, on any Security (A) on or after the due date expressed in such Security, (B) on or after the date fixed for redemption or repayment or (C) after such Security shall have become due by declaration.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r>
        <w:rPr>
          <w:rFonts w:ascii="Times New Roman;Times;Serif" w:hAnsi="Times New Roman;Times;Serif"/>
          <w:b w:val="false"/>
          <w:i w:val="false"/>
          <w:caps/>
          <w:sz w:val="20"/>
        </w:rPr>
        <w:br/>
        <w:t>CONCERNING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Duties and Responsibilities of Trustee</w:t>
      </w:r>
      <w:r>
        <w:rPr>
          <w:rFonts w:ascii="Times New Roman;Times;Serif" w:hAnsi="Times New Roman;Times;Serif"/>
          <w:b w:val="false"/>
          <w:i w:val="false"/>
          <w:caps w:val="false"/>
          <w:smallCaps w:val="false"/>
          <w:sz w:val="20"/>
        </w:rPr>
        <w:t>. With respect to the holders of any series of Securities issued hereunder, the Trustee, prior to the occurrence of an Event of Default with respect to the Securities of such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with respect to such series, and use the same degree of care and skill in their exercise as a prudent person would exercise or use under the circumstances in the conduct of such person’s own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construed to relieve the Trustee from liability for its own grossly negligent action, its own negligent failure to act, or its own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occurrence of an Event of Default with respect to the Securities of a series and after the curing or waiving of all Events of Default with respect to such series which may have occurred: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with respect to the Securities of a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not be liable for any error of judgment made in good faith by a Responsible Officer or Officers of the Trustee, unless it shall be proved that the Trustee was negligent in ascertaining the pertinent facts;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liable with respect to any action taken, omitted or suffered to be taken by it in good faith in accordance with the direction of the holders of Securities of any series pursuant to Section 6.07 relating to the time, method and place of conducting any proceeding for any remedy available to the Trustee or exercising any trust or power conferred upon the Trustee, under this Indenture with respect to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every provision of this Indenture relating to the conduct of, the liability of or affording protection to the Trustee for any series of Securities shall be subject to the provisions of this Section 7.01;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interest on any money received by it except as the Trustee may agree in writing with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money held in trust by the Trustee need not be segregated from other funds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of this Indenture shall be construed as requiring the Trustee to expend or risk its own funds or otherwise to incur any personal financial liability in the performance of any of its duties hereunder, or in the exercise of any of its rights or powers, if there shall be reasonable grounds for believing that repayment of such funds or adequate indemnity against such risk or liability is not reasonably assured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7.01 are in furtherance of and subject to Section 315 of the Trust Indenture Act of 1939.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Reliance on Documents, Opinions, etc.</w:t>
      </w:r>
      <w:r>
        <w:rPr>
          <w:rFonts w:ascii="Times New Roman;Times;Serif" w:hAnsi="Times New Roman;Times;Serif"/>
          <w:b w:val="false"/>
          <w:i w:val="false"/>
          <w:caps w:val="false"/>
          <w:smallCaps w:val="false"/>
          <w:sz w:val="20"/>
        </w:rPr>
        <w:t xml:space="preserve"> In furtherance of and subject to the Trust Indenture Act of 1939, and subject to the provisions of Section 7.01: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and shall be protected in acting or refraining from acting upon any resolution, certificate, statement, instrument, opinion, report, notice, request, direction, consent, order, or other paper or document believed by it to be genuine and to have been signed or presented by the proper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an instrument signed in the name of the Company by any one of its Authorized Officers (unless other evidence in respect thereof be herein specifically prescribed); and any resolution of the Board of Directors of the Company may be evidenced to the Trustee by a copy thereof certified by the Secretary, an Assistant Secretary or an Attesting Secretary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consult with counsel and any Opinion of Counsel shall be full and complete authorization and protection in respect of any action taken, omitted or suffered to be taken by it hereunder in good faith and in accordance with such Opinion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satisfactory to it against the loss, costs, expenses and liabilities which might be incurred therein or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any action taken, omitted or suffered by it in good faith and believed by it to be authorized or within the discretion or rights or powers conferred upon it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Trustee shall not be bound to make any inquiry or investigation into the facts or matters stated in any resolution, certificate, statement, instrument, opinion, report, notice, request, direction, consent, order, bond, note or other paper or document unless requested in writing so to do by the holders of a majority in aggregate principal amount of the Securities of any series affected then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payment within a reasonable time to the Trustee of the costs and expenses or liabilities likely to be incurred by it in the making of such investigation is, in the opinion of the Trustee, not reasonably assured to the Trustee by the security conferred upon it by the terms of this Indenture, the Trustee may require reasonable indemnity against such costs, expenses or liabilities as a condition to so proceeding; and the reasonable expense of such investigation shall be paid by the Company, or, if paid by the Trustee, shall be repaid by the Company upon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deemed to have notice of any default or Event of Default unless a Responsible Officer of the Trustee has actual knowledge thereof or written notice of any event which is in fact such a default or Event of Default is received by the Trustee at the Corporate Trust Office of the Trustee and such notice references the Securities and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rights, privileges, protections, immunities and benefits given to the Trustee, including, without limitation, its right to be indemnified, are extended to, and shall be enforceable by, the Trustee in each of it capacities hereunder and each agent, custodian and other Person employed to act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shall not be responsible or liable for special, indirect or consequential loss or damage of any kind whatsoever (including, but not limited to, loss or profit) irrespective of whether the Trustee has been advised of the likelihood of such loss or damage and regardless of the form of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required to give any note, bond or surety in respect of the execution of the trusts and powers under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shall not be responsible or liable for any failure or delay in the performance of its obligations under this Indenture arising out of or caused, directly or indirectly by circumstances beyond its reasonable control, including, without limitation, acts of God, earthquakes, fire, flood, terrorism, wars and other military disturbances, sabotage, epidemics, riots, interruptions, loss or malfunction of utilities or communication services and acts of civil or military authorities and governmental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No Responsibility for Recitals, etc</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recitals contained herein and in the Securities shall be taken as the statements of the Company (except in the Trustee’s certificates of authentication), and the Trustee assumes no responsibility for the correctness of the same. The Trustee makes no representations as to the validity or sufficiency of this Indenture or the Securities,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Trustee shall not be relieved of its duty to authenticate Securities only as authorized by this Indenture. The Trustee shall not be accountable for the use or application by the Company or any of the Securities or of the proceeds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Ownership of Securities</w:t>
      </w:r>
      <w:r>
        <w:rPr>
          <w:rFonts w:ascii="Times New Roman;Times;Serif" w:hAnsi="Times New Roman;Times;Serif"/>
          <w:b w:val="false"/>
          <w:i w:val="false"/>
          <w:caps w:val="false"/>
          <w:smallCaps w:val="false"/>
          <w:sz w:val="20"/>
        </w:rPr>
        <w:t>. The Trustee and any agent of the Company or of the Trustee, in its individual or any other capacity, may become the owner or pledgee of Securities with the same rights it would have if it were not Trustee or such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Moneys to be Held in Trust</w:t>
      </w:r>
      <w:r>
        <w:rPr>
          <w:rFonts w:ascii="Times New Roman;Times;Serif" w:hAnsi="Times New Roman;Times;Serif"/>
          <w:b w:val="false"/>
          <w:i w:val="false"/>
          <w:caps w:val="false"/>
          <w:smallCaps w:val="false"/>
          <w:sz w:val="20"/>
        </w:rPr>
        <w:t>. Subject to the provisions of Sections 12.05 and 12.06 hereof, all moneys received by the Trustee or any paying agent shall, until used or applied as herein provided, be held in trust for the purposes for which they were received, but need not be segregated from other funds except to the extent required by law. Neither the Trustee nor any paying agent shall be under any liability for interest on any moneys received by it hereunder except such as it may agree with the Company to pay thereon. So long as no Event of Default shall have occurred and be continuing, all interest allowed on any such moneys shall be paid from time to time upon the written order of the Company, signed by any one of its Authorized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Compensation and Expenses of Trustee</w:t>
      </w:r>
      <w:r>
        <w:rPr>
          <w:rFonts w:ascii="Times New Roman;Times;Serif" w:hAnsi="Times New Roman;Times;Serif"/>
          <w:b w:val="false"/>
          <w:i w:val="false"/>
          <w:caps w:val="false"/>
          <w:smallCaps w:val="false"/>
          <w:sz w:val="20"/>
        </w:rPr>
        <w:t>. The Company covenants and agrees to pay to the Trustee from time to time, and the Trustee shall be entitled to, such reasonable compensation agreed in writing between the Company and the Trustee (which shall not be limited by any provision of law in regard to the compensation of a trustee of an express trust) and, except as otherwise expressly provided,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If any property other than cash shall at any time be subject to the lien of this Indenture, the Trustee, if and to the extent authorized by a receivership or bankruptcy court of competent jurisdiction or by the supplemental instrument subjecting such property to such lien, shall be entitled to make advances for the purpose of preserving such property or of discharging tax liens or other prior liens or encumbrances thereon. The Company also covenants to indemnify the Trustee for, and to hold it harmless against, any loss, liability or expense incurred without negligence or bad faith on the part of the Trustee, arising out of or in connection with the acceptance or administration of this trust and its duties hereunder, including the costs and expenses of defending itself against any claim of liability in the premises. The obligations of the Company under this Section 7.06 to compensate and indemnify the Trustee and to pay or reimburse the Trustee for expenses, disbursements and advances shall constitute additional indebtedness hereunder and shall survive the satisfaction and discharge of this Indenture. Such additional indebtedness shall be secured by a lien prior to that of the Securities upon all property and funds held or collected by the Trustee as such, except funds held in trust for the benefit of the holders of particular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Officer’s Certificate as Evidence</w:t>
      </w:r>
      <w:r>
        <w:rPr>
          <w:rFonts w:ascii="Times New Roman;Times;Serif" w:hAnsi="Times New Roman;Times;Serif"/>
          <w:b w:val="false"/>
          <w:i w:val="false"/>
          <w:caps w:val="false"/>
          <w:smallCaps w:val="false"/>
          <w:sz w:val="20"/>
        </w:rPr>
        <w:t>. Subject to the provisions of Sections 7.01 and 7.02, whenever in the administration of the provisions of this Indenture the Trustee shall deem it necessary or desirable that a matter be proved or established prior to taking, omitting or suffering any action to be taken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omitted or suffered by it under the provisions of this Indenture upon the faith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Indentures Not Creating Potential Conflicting Interests For The Trustee</w:t>
      </w:r>
      <w:r>
        <w:rPr>
          <w:rFonts w:ascii="Times New Roman;Times;Serif" w:hAnsi="Times New Roman;Times;Serif"/>
          <w:b w:val="false"/>
          <w:i w:val="false"/>
          <w:caps w:val="false"/>
          <w:smallCaps w:val="false"/>
          <w:sz w:val="20"/>
        </w:rPr>
        <w:t>. The following indenture is hereby specifically described for the purposes of Section 310(b)(1) of the Trust Indenture Act of 1939: this Indenture with respect to the Securities of any other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Eligibility of Trustee</w:t>
      </w:r>
      <w:r>
        <w:rPr>
          <w:rFonts w:ascii="Times New Roman;Times;Serif" w:hAnsi="Times New Roman;Times;Serif"/>
          <w:b w:val="false"/>
          <w:i w:val="false"/>
          <w:caps w:val="false"/>
          <w:smallCaps w:val="false"/>
          <w:sz w:val="20"/>
        </w:rPr>
        <w:t>. The Trustee hereunder shall at all times be a corporation organized and doing business under the laws of the United States or any state, which (a) is authorized under such laws to exercise corporate trust powers, (b) is subject to supervision or examination by U.S. Federal or State authority and (c) shall have at all times a combined capital and surplus of not less than fifty million dollars. If such corporation publishes reports of condition at least annually, pursuant to law, or to the requirements of the aforesaid supervising or examining authority, then for the purposes of this Section 7.09, the combined capital and surplus of such corporation at any time shall be deemed to be its combined capital and surplus as set forth in its most recent report of condition so published. In case at any time the Trustee shall cease to be eligible in accordance with the provisions of this Section 7.09, the Trustee shall resign immediately in the manner and with the effect specified in Section 7.10. The provisions of this Section 7.09 are in furtherance of and subject to Section 310(a) of the Trust Indenture Act of 1939.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Resignation or Removal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or any trustee or trustees hereafter appointed, may at any time resign with respect to any one or more or all series of Securities by giving written notice of resignation to the Company and by mailing notice thereof to the holders of the applicable series of Securities at their addresses as they shall appear on the registry books of the Registrar. Upon receiving such notice of resignation, the Company shall promptly appoint a successor trustee or trustees with respect to the applicable series by written instrument, in duplicate, executed by order of the Board of Directors of the Company, one copy of which instrument shall be delivered to the resigning Trustee and one copy to the successor trustee. If no successor trustee shall have been so appointed with respect to any series and have accepted appointment within 60 days after the giving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subject to the provisions of Section 6.09,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fail to comply with the provisions of Section 310(b) of the Trust Indenture Act of 1939 with respect to any series of Securities after written request therefor by the Company or by any Securityholder who has been a bona fide holder of a Security or Securities of such series for at least six months,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cease to be eligible in accordance with the provisions of Section 7.09 and Section 310(a) of the Trust Indenture Act of 1939 with respect to any series of Securities and shall fail to resign after written request therefor by the Company or by any such Securityholder,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become incapable of acting with respect to any series of Securities, or shall be adjudged a bankrupt or insolvent, or a receiver of the Trustee or of its property shall be appointed or any public officer shall take charge or control of the Trustee or of its property or affairs for the purpose of rehabilitation, conservation or liquidation—then, in any such case, the Company may remove the Trustee with respect to such series and appoint a successor trustee with respect to such series by written instrument, in duplicate, executed by order of the Board of Directors of the Company, one copy of which instrument shall be delivered to the Trustee so removed and one copy to the successor trustee, or, subject to the provisions of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Securities of one or more series (each series voting as a class) or all series at the time Outstanding may at any time remove the Trustee with respect to the applicable series or all series, as the case may be, and appoint with respect to the applicable series or all series, as the case may be, a successor trustee by written notice of such action to the Company, the Trustee and the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with respect to any series and any appointment of a successor trustee with respect to such series pursuant to any of the provisions of this Section 7.10 shall become effective upon acceptance of appointment by the successor trustee as provided in Section 7.11.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predecessor Trustee shall be liable for the acts or omissions of any successor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Acceptance by Successor Trustee</w:t>
      </w:r>
      <w:r>
        <w:rPr>
          <w:rFonts w:ascii="Times New Roman;Times;Serif" w:hAnsi="Times New Roman;Times;Serif"/>
          <w:b w:val="false"/>
          <w:i w:val="false"/>
          <w:caps w:val="false"/>
          <w:smallCaps w:val="false"/>
          <w:sz w:val="20"/>
        </w:rPr>
        <w:t>. Any successor trustee appointed as provided in Section 7.10 shall execute, acknowledge and deliver to the Company and to its predecessor trustee an instrument accepting such appointment hereunder, and thereupon the resignation or removal of the predecessor trustee with respect to any or all applicable series shall become effective and such successor trustee, without any further act, deed or conveyance, shall become vested with all the rights, powers, duties and obligations with respect to such series of its predecessor hereunder, with like effect as if originally named as trustee herein; but, nevertheless, on the written request of the Company or of the successor trustee, the trustee ceasing to act shall, upon payment (or due provision therefor) of any amounts then due it pursuant to the provisions of Section 7.06, execute and deliver an instrument transferring to such successor trustee all the rights and powers with respect to such series of the trustee so ceasing to act. Upon request of any such successor trustee, the Company shall execute any and all instruments in writing in order more fully and certainly to vest in and confirm to such successor trustee all such rights and powers. Any trustee ceasing to act shall, nevertheless, retain a lien upon all property or funds held or collected by such trustee to secure any amounts then due it pursuant to the provisions of Section 7.06.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with respect to a series of Securities shall accept appointment as provided in this Section 7.11 unless at the time of such acceptance such successor trustee shall, with respect to such series, be qualified under Section 310(b) of the Trust Indenture Act of 1939 and eligible under the provisions of Section 7.09.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 successor trustee with respect to any series as provided in this Section 7.11, the Company shall mail notice of the succession of such trustee hereunder to the holders of Securities of such series at their addresses as they shall appear on the registry books of the Company. If the Company fails to mail such notice within ten days after the acceptance of appointment by the successor trustee, the successor trustee shall cause such notice to be mailed at the expense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Succession by Merger, etc</w:t>
      </w:r>
      <w:r>
        <w:rPr>
          <w:rFonts w:ascii="Times New Roman;Times;Serif" w:hAnsi="Times New Roman;Times;Serif"/>
          <w:b w:val="false"/>
          <w:i w:val="false"/>
          <w:caps w:val="false"/>
          <w:smallCaps w:val="false"/>
          <w:sz w:val="20"/>
        </w:rPr>
        <w:t xml:space="preserve">. Any Person into which the Trustee may be merged or converted or with which it may be consolidated, or any Person resulting from any merger, conversion or consolidation to which the Trustee shall be a party, or any Person succeeding to all or substantially all of the corporate trust business of the Trustee, shall be the successor to the Trustee hereunder,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such Person shall be qualified under Section 310(b) of the Trust Indenture Act of 1939 and eligible under the provisions of Section 7.09, without the execution or filing of any paper or any further act on the part of any of the parties hereto, anything herein to the contrary notwithstanding.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at the time such successor to the Trustee shall succeed to the trust created by this Indenture with respect to one or more series of Securities any of such Securities shall have been authenticated but not delivered, any such successor to the Trustee by merger, conversion or consolidation may adopt the certificate of authentication of any predecessor trustee and deliver such Security so authenticated; and in case at that time any of such Securities shall not have been authenticated, any successor to the Trustee may authenticate such Securities either in the name of such successor to the Trustee or, if such successor to the Trustee is a successor by merger, conversion or consolidation, the name of any predecessor hereunder; and in all such cases such certificate shall have the full force which it is anywhere in such Securities or in this Indenture provided that the certificate of the Trustee shall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Appointment of Authenticating Agent</w:t>
      </w:r>
      <w:r>
        <w:rPr>
          <w:rFonts w:ascii="Times New Roman;Times;Serif" w:hAnsi="Times New Roman;Times;Serif"/>
          <w:b w:val="false"/>
          <w:i w:val="false"/>
          <w:caps w:val="false"/>
          <w:smallCaps w:val="false"/>
          <w:sz w:val="20"/>
        </w:rPr>
        <w:t>. The Trustee may appoint an Authenticating Agent or Agents which shall be authorized to act on behalf of the Trustee to authenticate Securities issued upon original issue and upon exchange, registration of transfer, partial conversion or partial redemption or pursuant to Section 2.07,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U.S.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such corporation shall be otherwise eligible under this Section, without the execution or filing of any paper or any further act on the part of the Trustee or the Authenticating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Authenticating Agent may resign at any time by giving written notice thereof to the Trustee and to the Company. The Trustee may at any time terminate the agency of an Authenticating Agent by giving written notice thereof to such Authenticating Agent and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mail written notice of such appointment by first-class mail, postage prepaid, to all holders of Securities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each Authenticating Agent from time to time reasonable compensation for its services under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appointment is made pursuant to this Section, the Securities may have endorsed thereon, in addition to the Trustee’s certificate of authentication, an alternative certificate of authentication in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described in the within-mentioned Indenture.</w:t>
      </w:r>
    </w:p>
    <w:p>
      <w:pPr>
        <w:pStyle w:val="TextBody"/>
        <w:bidi w:val="0"/>
        <w:spacing w:before="0" w:after="0"/>
        <w:ind w:left="4320" w:right="0" w:hanging="0"/>
        <w:jc w:val="left"/>
        <w:rPr>
          <w:caps w:val="false"/>
          <w:smallCaps w:val="false"/>
        </w:rPr>
      </w:pPr>
      <w:r>
        <w:rPr>
          <w:caps w:val="false"/>
          <w:smallCaps w:val="false"/>
        </w:rPr>
        <w:t> </w:t>
      </w:r>
    </w:p>
    <w:tbl>
      <w:tblPr>
        <w:tblW w:w="2134" w:type="dxa"/>
        <w:jc w:val="left"/>
        <w:tblInd w:w="0" w:type="dxa"/>
        <w:tblLayout w:type="fixed"/>
        <w:tblCellMar>
          <w:top w:w="0" w:type="dxa"/>
          <w:left w:w="0" w:type="dxa"/>
          <w:bottom w:w="0" w:type="dxa"/>
          <w:right w:w="0" w:type="dxa"/>
        </w:tblCellMar>
      </w:tblPr>
      <w:tblGrid>
        <w:gridCol w:w="75"/>
        <w:gridCol w:w="580"/>
        <w:gridCol w:w="1479"/>
      </w:tblGrid>
      <w:tr>
        <w:trPr/>
        <w:tc>
          <w:tcPr>
            <w:tcW w:w="7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as Trustee</w:t>
            </w:r>
          </w:p>
        </w:tc>
      </w:tr>
      <w:tr>
        <w:trPr/>
        <w:tc>
          <w:tcPr>
            <w:tcW w:w="7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7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Authenticating Agent</w:t>
            </w:r>
          </w:p>
        </w:tc>
      </w:tr>
      <w:tr>
        <w:trPr/>
        <w:tc>
          <w:tcPr>
            <w:tcW w:w="7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7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r>
        <w:rPr>
          <w:rFonts w:ascii="Times New Roman;Times;Serif" w:hAnsi="Times New Roman;Times;Serif"/>
          <w:b w:val="false"/>
          <w:i w:val="false"/>
          <w:caps/>
          <w:sz w:val="20"/>
        </w:rPr>
        <w:br/>
        <w:t>CONCERNING THE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Action of Securityholders</w:t>
      </w:r>
      <w:r>
        <w:rPr>
          <w:rFonts w:ascii="Times New Roman;Times;Serif" w:hAnsi="Times New Roman;Times;Serif"/>
          <w:b w:val="false"/>
          <w:i w:val="false"/>
          <w:caps w:val="false"/>
          <w:smallCaps w:val="false"/>
          <w:sz w:val="20"/>
        </w:rPr>
        <w:t>. Whenever in this Indenture it is provided that the holders of a specified percentage in aggregate principal amount of the Securities of any or all series may take any action (including the making of any demand or request, the giving of any notice, consent or waiver or the taking of any other action) the fact that at the time of taking any such action the holders of such specified percentage have joined therein may be evidenced by any instrument or any number of instruments of similar tenor executed by such Securityholders in person or by agent or proxy appointed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Proof of Execution by Securityholders</w:t>
      </w:r>
      <w:r>
        <w:rPr>
          <w:rFonts w:ascii="Times New Roman;Times;Serif" w:hAnsi="Times New Roman;Times;Serif"/>
          <w:b w:val="false"/>
          <w:i w:val="false"/>
          <w:caps w:val="false"/>
          <w:smallCaps w:val="false"/>
          <w:sz w:val="20"/>
        </w:rPr>
        <w:t>. Subject to the provisions of Sections 7.01 and 7.02, proof of the execution of any instrument by a Securityholder or his agent or proxy shall be sufficient if made in accordance with such reasonable rules and regulations as may be prescribed by the Trustee or in such manner as shall be reasonably satisfactory to the Trustee. The ownership of Securities shall be proved by the registry books of the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set a record date for purposes of determining the identity of holders of Securities of any series entitled to vote or consent to or revoke any action referred to in Section 8.01,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with respect to Securities of any series, only holders of Securities of such series of record on such record date shall be entitled to so vote or give such consent or revoke such vote or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Who Are Deemed Absolute Owners</w:t>
      </w:r>
      <w:r>
        <w:rPr>
          <w:rFonts w:ascii="Times New Roman;Times;Serif" w:hAnsi="Times New Roman;Times;Serif"/>
          <w:b w:val="false"/>
          <w:i w:val="false"/>
          <w:caps w:val="false"/>
          <w:smallCaps w:val="false"/>
          <w:sz w:val="20"/>
        </w:rPr>
        <w:t>. The Company, the Trustee and any agent of the Company or of the Trustee may deem the person in whose name any Security shall be registered upon the books of the Company to be, and may treat him as, the owner of such Security (whether or not such Security shall be overdue and notwithstanding any notation of ownership or other writing thereon) for the purpose of receiving payment of or on account of the principal of, premium, if any, and (subject to Section 2.04) interest, if any, on such Security and for all other purposes; and neither the Company nor the Trustee nor any agent of the Company or of the Trustee shall be affected by any notice to the contrary. All such payments so made to any holder for the time being, or upon his order, shall be valid, and, to the extent of the sum or sums so paid, effectual to satisfy and discharge the liability for moneys payable upon any such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Beneficial Owner of a beneficial interest in any Global Security held on its behalf by a Depositary shall have any rights under this Indenture with respect to such Global Security, and such Depositary may be treated by the Company, the Trustee, and any agent of the Company or the Trustee as the owner of such Security for all purposes whatsoever. None of the Company, the Trustee or any agent of the Company or the Trustee will have any responsibility or liability for any aspect of the records relating to or payments made on account of beneficial ownership interests of a Global Security or maintaining, supervising or reviewing any records relating to such beneficial ownership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val="false"/>
          <w:caps w:val="false"/>
          <w:smallCaps w:val="false"/>
          <w:sz w:val="20"/>
          <w:u w:val="single"/>
        </w:rPr>
        <w:t>Company-Owned Securities Disregarded</w:t>
      </w:r>
      <w:r>
        <w:rPr>
          <w:rFonts w:ascii="Times New Roman;Times;Serif" w:hAnsi="Times New Roman;Times;Serif"/>
          <w:b w:val="false"/>
          <w:i w:val="false"/>
          <w:caps w:val="false"/>
          <w:smallCaps w:val="false"/>
          <w:sz w:val="20"/>
        </w:rPr>
        <w:t xml:space="preserve">. In determining whether the holders of the requisite aggregate principal amount of Securities have concurred in any demand, request, notice, direction, consent or waiver under this Indenture, Securities which are owned by the Company or any other obligor on the Securities with respect to which such determination is being made or by any person directly or indirectly controlling or controlled by or under direct or indirect common control with the Company or any other obligor on the Securities with respect to which such determination is being made shall be disregarded and deemed not to be Outstanding for the purpose of any such determination;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the purposes of determining whether the Trustee shall be protected in conclusively relying on any such demand, request, notice, direction, consent or waiver only Securities which the Trustee actually knows are so owned shall be so disregarded. Securities so owned which have been pledged in good faith may be regarded as Outstanding for the purposes of this Section 8.04 if the pledgee shall establish to the satisfaction of the Trustee the pledgee’s right to vote such Securities and that the pledgee is not a person directly or indirectly controlling or controlled by or under direct or indirect common control with the Company or any such other obligor. In the case of a dispute as to such right, any decision by the Trustee taken upon the advice of counsel shall be full protection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val="false"/>
          <w:caps w:val="false"/>
          <w:smallCaps w:val="false"/>
          <w:sz w:val="20"/>
          <w:u w:val="single"/>
        </w:rPr>
        <w:t>Revocation of Consents; Future Holders Bound</w:t>
      </w:r>
      <w:r>
        <w:rPr>
          <w:rFonts w:ascii="Times New Roman;Times;Serif" w:hAnsi="Times New Roman;Times;Serif"/>
          <w:b w:val="false"/>
          <w:i w:val="false"/>
          <w:caps w:val="false"/>
          <w:smallCaps w:val="false"/>
          <w:sz w:val="20"/>
        </w:rPr>
        <w:t>. At any time prior to (but not after) the evidencing to the Trustee, as provided in Section 8.01, of the taking of any action by the holders of the percentage in aggregate principal amount of the Securities of any or all series, as the case may be, specified in this Indenture in connection with such action, any holder of a Security which is shown by the evidence to be included in the Securities the holders of which have consented to such action may, by filing written notice with the Trustee at its principal office and upon proof of holding as provided in Section 8.02, revoke such action so far as concerns such Security. Except as aforesaid, any such action taken by the holder of any Security shall be conclusive and binding upon such holder and upon all future holders of such Security, irrespective of whether or not any notation in regard thereto is made upon such Security or any Security issued in exchange or substitution therefor.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r>
        <w:rPr>
          <w:rFonts w:ascii="Times New Roman;Times;Serif" w:hAnsi="Times New Roman;Times;Serif"/>
          <w:b w:val="false"/>
          <w:i w:val="false"/>
          <w:caps/>
          <w:sz w:val="20"/>
        </w:rPr>
        <w:br/>
        <w:t>[RESERVED]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r>
        <w:rPr>
          <w:rFonts w:ascii="Times New Roman;Times;Serif" w:hAnsi="Times New Roman;Times;Serif"/>
          <w:b w:val="false"/>
          <w:i w:val="false"/>
          <w:caps/>
          <w:sz w:val="20"/>
        </w:rPr>
        <w:br/>
        <w:t>SUPPLEMENTAL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Supplemental Indentures without Consent of Securityholders</w:t>
      </w:r>
      <w:r>
        <w:rPr>
          <w:rFonts w:ascii="Times New Roman;Times;Serif" w:hAnsi="Times New Roman;Times;Serif"/>
          <w:b w:val="false"/>
          <w:i w:val="false"/>
          <w:caps w:val="false"/>
          <w:smallCaps w:val="false"/>
          <w:sz w:val="20"/>
        </w:rPr>
        <w:t>. The Company, when authorized by resolution of the Board of Directors, and the Trustee may from time to time and at any time enter into an indenture or indentures supplemental hereto for one or more of the following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evidence the succession of another Person to the Company, or successive successions, and the assumption by the successor Person of the covenants, agreements and obligations of the Company pursuant to Article Eleven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add to the covenants of the Company such further covenants, restrictions, conditions or provisions for the protection of the holders of all or any series of Securities (and if such covenants are to be for the benefit of less than all series of Securities, stating that such covenants are expressly being included for the benefit of such series) as the Board of Directors of the Company and the Trustee shall consider to be for the protection of the holders of such Securities, and to make the occurrence, or the occurrence and continuance, of a default in any of such additional covenants, restrictions, conditions or provisions a default or an Event of Default permitting the enforcement of all or any of the several remedies provided in this Indenture as herein set forth;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any additional Events of Default (and, if such Events of Default are to be applicable to less than all series of Securities, stating that such Events of Default are applicable only to specified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provide for the issuance under this Indenture of Securities in coupon form (including Securities registrable as to principal only) and to provide for exchangeability of such Securities with the Securities of the same series issued hereunder in fully registered form and to make all appropriate changes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establish the forms or terms of Securities of any series or of the Coupons appertaining to such Securities as permitted by Sections 2.01 and 2.02;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for uncertificated debt securities in addition to or in place of certificated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this Indenture which shall not materially adversely affect the interests of the holders of any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amendment made solely to conform the provisions of this Indenture to the description of the Securities contained in the prospectus or other offering document pursuant to which the Securities were sold will be deemed not to adversely affect the interests of the holders of the Securities as set forth in an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modify or amend this Indenture to permit the qualification of this Indenture or any indentures supplemental hereto under the Trust Indenture Act of 1939,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add to or change any provision of this Indenture to provide that bearer Securities may be registrable as to principal, to change or eliminate any restrictions on the payment of principal or premium with respect to registered Securities or of principal, premium or interest with respect to bearer Securities, or to permit registered Securities to be exchanged for bearer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such addition, change or elimination may not materially adversely affect the interests of any holders of Securities at the time Outstanding nor permit or facilitate the issuance of Securities of any series in uncertificated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add guarantees with respect to the Securities of any series or to secure the Securities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evidence and provide for the acceptance of appointment hereunder by a successor or separate trustee with respect to the Securities of one or more series or to add to or change any of the provisions of this Indenture as shall be necessary to provide for or facilitate the administration of the trusts hereunder by more than one trustee, pursuant to the requirements of Section 7.11 or pursuant to Section 2.02(q);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to add to, change or eliminate any of the provisions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such addition, change or elimination may be effected only when no Outstanding Security of any series created prior to the execution of such supplemental indenture is entitled to the benefit of such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to make any further appropriate agreements and stipulations which may be therein contained and to accept the conveyance, transfer and assignment of any property thereunder, but the Trustee shall not be obligated to, but may in its discretion, enter into any such supplemental indenture which affects the Trustee’s own rights, duties or immunities under this Indenture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10.01 may be executed by the Company and the Trustee without the consent of the holders of any of the Securities at the time Outstanding, notwithstanding any of the provisions of Section 10.02.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Supplemental Indentures with Consent of Securityholders</w:t>
      </w:r>
      <w:r>
        <w:rPr>
          <w:rFonts w:ascii="Times New Roman;Times;Serif" w:hAnsi="Times New Roman;Times;Serif"/>
          <w:b w:val="false"/>
          <w:i w:val="false"/>
          <w:caps w:val="false"/>
          <w:smallCaps w:val="false"/>
          <w:sz w:val="20"/>
        </w:rPr>
        <w:t xml:space="preserve">. With the written consent (evidenced as provided in Sections 8.01 and 8.02) of the holders of a majority in the aggregate principal amount of the Securities of each series (each series voting as a class) affected by such supplemental indenture at the time Outstanding, the Company and the Trustee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of the Securities or each such series;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supplemental indenture shall (i) change the stated maturity of principal of, or any installment of principal of or interest on, any Security, (ii) reduce the rate of or extend the time of payment of interest, if any, on any Security or alter the manner of calculation of interest payable on any Security (except as part of any remarketing of the Securities of any series, or any interest rate reset with respect thereto in each case in accordance with the terms thereof), (iii) reduce the principal amount or premium, if any, on any Security, (iv) make the principal amount or premium, if any, or interest, if any, on any Security payable in any coin or currency other than that provided in any Security, (v) reduce the percentage in principal amount of Securities of any series the holders of which are required to consent to any such supplemental indenture or any waiver of any past default or Event of Default pursuant to Section 6.07(b), (vi) change any place of payment where the Securities of any series or interest thereon is payable, (vii) impair the right of any holder of a Security to institute suit for any such payment, reduce the amount of the principal of an Original Issue Discount Security that would be due and payable upon an acceleration of the maturity thereof pursuant to Section 6.01, adversely affect the right of repayment, if any, at the option of the holder or extend the time or reduce the amount of any payment to any sinking fund or analogous obligation relating to any Security, or (viii) modify any provision of Section 6.07(b) or 10.02 (except to increase any such percentage or to provide that certain other provisions of the Indenture cannot be modified or waived without the consent of the holder of each Security so affected), without, in the case of each of the foregoing clauses (i) through (viii), the consent of the holder of each Security so affected. 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a copy of the resolutions of the Board of Directors authorizing the execution and delivery of any such supplemental indenture, and upon the filing with the Trustee of evidence of the consent of Securityholders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under this Section 10.02 to approve the particular form of any proposed supplemental indenture, but it shall be sufficient if such consent shall approve the substance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Compliance with Trust Indenture Act; Effect of Supplemental Indentures</w:t>
      </w:r>
      <w:r>
        <w:rPr>
          <w:rFonts w:ascii="Times New Roman;Times;Serif" w:hAnsi="Times New Roman;Times;Serif"/>
          <w:b w:val="false"/>
          <w:i w:val="false"/>
          <w:caps w:val="false"/>
          <w:smallCaps w:val="false"/>
          <w:sz w:val="20"/>
        </w:rPr>
        <w:t>. Any supplemental indenture executed pursuant to the provisions of this Article Ten shall comply with the Trust Indenture Act of 1939, as then in effect. Upon the execution of any supplemental indenture pursuant to the provisions of this Article Ten, this Indenture shall be deemed to be modified and amended in accordance therewith and the respective rights, limitations of rights, obligations, duties and immunities under this Indenture of the Trustee, the Company and the holders of the Securities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val="false"/>
          <w:caps w:val="false"/>
          <w:smallCaps w:val="false"/>
          <w:sz w:val="20"/>
          <w:u w:val="single"/>
        </w:rPr>
        <w:t>Notation on Securities</w:t>
      </w:r>
      <w:r>
        <w:rPr>
          <w:rFonts w:ascii="Times New Roman;Times;Serif" w:hAnsi="Times New Roman;Times;Serif"/>
          <w:b w:val="false"/>
          <w:i w:val="false"/>
          <w:caps w:val="false"/>
          <w:smallCaps w:val="false"/>
          <w:sz w:val="20"/>
        </w:rPr>
        <w:t>. Securities authenticated and delivered after the execution of any supplemental indenture pursuant to the provisions of this Article Ten may bear a notation in form approved by the Trustee as to any matter provided for in such supplemental indenture. If the Company or the Trustee shall so determine, new Securities of any series so modified as to conform, in the opinion of the Trustee and the Board of Directors, to any modification of this Indenture contained in any such supplemental indenture may be prepared and executed by the Company, authenticated by the Trustee and delivered in exchange for the Securities of such series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val="false"/>
          <w:caps w:val="false"/>
          <w:smallCaps w:val="false"/>
          <w:sz w:val="20"/>
          <w:u w:val="single"/>
        </w:rPr>
        <w:t>Evidence of Compliance of Supplemental Indenture to be Furnished Trustee</w:t>
      </w:r>
      <w:r>
        <w:rPr>
          <w:rFonts w:ascii="Times New Roman;Times;Serif" w:hAnsi="Times New Roman;Times;Serif"/>
          <w:b w:val="false"/>
          <w:i w:val="false"/>
          <w:caps w:val="false"/>
          <w:smallCaps w:val="false"/>
          <w:sz w:val="20"/>
        </w:rPr>
        <w:t>. The Trustee, subject to the provisions of Sections 7.01 and 7.02, may receive an Officer’s Certificate and an Opinion of Counsel as conclusive evidence that any supplemental indenture executed pursuant hereto complies with the requirements of this Article Ten and constitutes the legal, valid and binding obligation of the Company, enforceable against it in accordance with its terms, subject to customary exceptions and qualifications.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r>
        <w:rPr>
          <w:rFonts w:ascii="Times New Roman;Times;Serif" w:hAnsi="Times New Roman;Times;Serif"/>
          <w:b w:val="false"/>
          <w:i w:val="false"/>
          <w:caps/>
          <w:sz w:val="20"/>
        </w:rPr>
        <w:br/>
        <w:t>CONSOLIDATION, MERGER, SALE OR CONVEYANCE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Company May Consolidate, Merge Or Sell Assets on Certain Terms</w:t>
      </w:r>
      <w:r>
        <w:rPr>
          <w:rFonts w:ascii="Times New Roman;Times;Serif" w:hAnsi="Times New Roman;Times;Serif"/>
          <w:b w:val="false"/>
          <w:i w:val="false"/>
          <w:caps w:val="false"/>
          <w:smallCaps w:val="false"/>
          <w:sz w:val="20"/>
        </w:rPr>
        <w:t xml:space="preserve">. Nothing contained in this Indenture or in any of the Securities shall be deemed to prevent the consolidation or merger of the Company with or into any other corporation, or the merger into the Company of any other corporation, or the sale by the Company of its assets as, or substantially as, an entirety,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in case of any such consolidation or merger the corporation resulting from such consolidation or any corporation other than the Company into which such merger shall be made shall succeed to and be substituted for the Company with the same effect as if it has been named herein as a party hereto and shall become liable and be bound for, and shall expressly assume, by a supplemental indenture hereto, executed and delivered to the Trustee, the due and punctual payment of the principal of, premium, if any, and interest, if any, on all the Securities of each series and the Coupons, if any, appertaining thereto and the performance and observance of each and every covenant and condition of this Indenture on the part of the Company to be performed or observed, (b) as a condition of any such sale of the assets of the Company as, or substantially as, an entirety, the corporation to which such assets shall be sold shall (i) expressly assume the due and punctual payment of the principal of, premium, if any, and interest, if any, on all the Securities of each series and the Coupons, if any, appertaining thereto and the performance and observance of all the covenants and conditions of this Indenture on the part of the Company to be performed or observed and (ii) simultaneously with the delivery to it of the conveyances or instruments of transfer of such assets, execute and deliver to the Trustee a supplemental indenture thereto, in form satisfactory to the Trustee, whereby such purchasing corporation shall so assume the due and punctual payment of the principal of, premium, if any, and interest, if any, on all the Securities of each series and the Coupons, if any, appertaining thereto and the performance and observance of each and every covenant and condition of this Indenture on the part of the Company to be performed or observed, to the same extent that the Issuer is bound and liable, (c) the Company is not, or such successor corporation is not, immediately after such merger, consolidation or sale, in default in the performance of any obligations under this Indenture and (d) deliver an Officer’s Certificate and Opinion of Counsel that such transaction is permitted by this Indenture and all conditions precedent have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Successor Corporation or Limited Liability Company to be Substituted</w:t>
      </w:r>
      <w:r>
        <w:rPr>
          <w:rFonts w:ascii="Times New Roman;Times;Serif" w:hAnsi="Times New Roman;Times;Serif"/>
          <w:b w:val="false"/>
          <w:i w:val="false"/>
          <w:caps w:val="false"/>
          <w:smallCaps w:val="false"/>
          <w:sz w:val="20"/>
        </w:rPr>
        <w:t>. In case of any such merger, consolidation or sale, and upon any such assumption by the successor corporation or limited liability company, such successor corporation or limited liability company shall succeed to and be substituted for the Company, with the same effect as if it had been named herein as the Company, and the Company shall be relieved of any further obligation under this Indenture and under the Securities. Such successor corporation or limited liability company thereupon may cause to be signed, and may issue either in its own name or in the name of SAIHEAT Limited, any or all of the Securities issuable hereunder which theretofore shall not have been signed by the Company and delivered to the Trustee; and, upon the order of such successor corporation or limited liability company,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or limited liability company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merger, consolidation or sale, such changes in phraseology and form (but not in substance) may be made in the Securities thereafter to be issued as may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val="false"/>
          <w:caps w:val="false"/>
          <w:smallCaps w:val="false"/>
          <w:sz w:val="20"/>
          <w:u w:val="single"/>
        </w:rPr>
        <w:t>Documents to be Given Trustee</w:t>
      </w:r>
      <w:r>
        <w:rPr>
          <w:rFonts w:ascii="Times New Roman;Times;Serif" w:hAnsi="Times New Roman;Times;Serif"/>
          <w:b w:val="false"/>
          <w:i w:val="false"/>
          <w:caps w:val="false"/>
          <w:smallCaps w:val="false"/>
          <w:sz w:val="20"/>
        </w:rPr>
        <w:t>. The Trustee, subject to the provisions of Sections 7.01 and 7.02, may receive an Officer’s Certificate and an Opinion of Counsel as conclusive evidence that any such consolidation, merger or sale, and any such assumption, comply with the provisions of this Article Eleven.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r>
      <w:r>
        <w:rPr>
          <w:rFonts w:ascii="Times New Roman;Times;Serif" w:hAnsi="Times New Roman;Times;Serif"/>
          <w:b w:val="false"/>
          <w:i w:val="false"/>
          <w:caps/>
          <w:sz w:val="20"/>
        </w:rPr>
        <w:br/>
        <w:t>SATISFACTION AND DISCHARGE OF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val="false"/>
          <w:caps w:val="false"/>
          <w:smallCaps w:val="false"/>
          <w:sz w:val="20"/>
          <w:u w:val="single"/>
        </w:rPr>
        <w:t>Discharge of Indenture</w:t>
      </w:r>
      <w:r>
        <w:rPr>
          <w:rFonts w:ascii="Times New Roman;Times;Serif" w:hAnsi="Times New Roman;Times;Serif"/>
          <w:b w:val="false"/>
          <w:i w:val="false"/>
          <w:caps w:val="false"/>
          <w:smallCaps w:val="false"/>
          <w:sz w:val="20"/>
        </w:rPr>
        <w:t>. When (a) the Company shall deliver to the Trustee for cancellation all Securities theretofore authenticated (other than any Securities which shall have been destroyed, lost or stolen or in lieu of or in substitution for which other Securities shall have been authenticated and delivered, or which shall have been paid, pursuant to the provisions of Section 2.07 or Securities for whose payment money has theretofore been deposited in trust and thereafter repaid to the Company as provided in Section 12.06) and not theretofore cancelled, or (b) all the Securities not theretofore cancelled or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with the Trustee, in trust, funds sufficient to pay at maturity or upon redemption all of the Securities (other than any (i) Securities which shall have been destroyed, lost or stolen and in lieu of or in substitution for which other Securities shall have been authenticated and delivered, or which shall have been paid, pursuant to the provisions of Section 2.07 or (ii) Securities for whose payment money has theretofore been deposited in trust and thereafter repaid to the Company as provided in Section 12.06) not theretofore cancelled or delivered to the Trustee for cancellation, including principal, premium, if any, and interest, if any, due or to become due to such date of maturity or date fixed for redemption, as the case may be, and if in either case the Company shall also pay or cause to be paid all other sums payable hereunder by the Company, then this Indenture shall cease to be of further effect (except as to (i) rights of registration of transfer and exchange of Securities, (ii) substitution of mutilated, defaced, destroyed, lost or stolen Securities, (iii) rights of holders to receive payments of principal thereof and interest thereon, and remaining rights of the holders to receive mandatory sinking fund payments, if any, (iv) the rights, obligations and immunities of the Trustee hereunder and (v) the rights of the Securityholders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satisfaction of and discharging this Indenture, the Company, however, hereby agreeing to reimburse the Trustee for any costs or expenses thereafter reasonably and properly incurred by the Trustee in connection with this Indenture or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12.02 </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On the 91st day following the deposit referred to in clause (a), the Company will be deemed to have paid and will be discharged from its obligations in respect of the Securities of the series with respect to which such deposit shall have been made and the Indenture with respect to such Securities, other than (i) the rights of the Securityholders of Outstanding Securities of such series to receive, solely from the trust fund described in clause (a), payments in respect of the principal of and interest on such securities when such payments are due and (ii) its obligations in Article Two and Sections 4.02, 7.06, 7.10, 12.06; and 12.07 provided the following conditions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irrevocably deposited in trust with the Trustee, as trust funds solely for the benefit of the Securityholders of such series, money sufficient, or U.S. Government Obligations, the principal of and interest on which shall be sufficient, or a combination thereof sufficient, in the opinion of the Board of Directors of the Company evidenced by a resolution set forth in an Officer’s Certificate delivered to the Trustee, without consideration of any reinvestment, to pay principal of, premium, if any, and interest, if any, on the Securities of such series to maturity or redemption, as the case may be, provided that any redemption before maturity has been irrevocably provided for under arrangements satisfactory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deposit will not result in a breach or violation of, or constitute a default under, the Indenture or any other agreement or instrument to which the Company is a party or by which it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either (x) a ruling received from the Internal Revenue Service to the effect that the holders of the Securities of such series will not recognize income, gain or loss for U.S. federal income tax purposes as a result of the defeasance and will be subject to U.S. federal income tax on the same amount and in the same manner and at the same times as would otherwise have been the case or (y) an Opinion of Counsel, based on a change in law after the date of the Indenture, to the same effect as the ruling described in clause (x).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delivered to the Trustee an Officer’s Certificate and an Opinion of Counsel, in each case stating that all conditions precedent provided for herein relating to the defeasance have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end of the 91-day period, none of the Company’s obligations under the Indenture with respect to the Securities of such series will be discharged. Thereafter, the Trustee, upon the request and at the cost and expense of the Company, will acknowledge in writing the discharge of the Company’s obligations under the Securities of such series and the Indenture with respect to such series except for the surviving obligations specified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w:t>
      </w:r>
      <w:r>
        <w:rPr>
          <w:rFonts w:ascii="Times New Roman;Times;Serif" w:hAnsi="Times New Roman;Times;Serif"/>
          <w:b/>
          <w:i w:val="false"/>
          <w:caps w:val="false"/>
          <w:smallCaps w:val="false"/>
          <w:sz w:val="20"/>
        </w:rPr>
        <w:t>U.S. Government Obligation</w:t>
      </w:r>
      <w:r>
        <w:rPr>
          <w:rFonts w:ascii="Times New Roman;Times;Serif" w:hAnsi="Times New Roman;Times;Serif"/>
          <w:b w:val="false"/>
          <w:i w:val="false"/>
          <w:caps w:val="false"/>
          <w:smallCaps w:val="false"/>
          <w:sz w:val="20"/>
        </w:rPr>
        <w:t xml:space="preserve">” means (x) any security which is (i) a direct obligation of the United States of America for the payment of which its full faith and credit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of 1933)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12.03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After the 91st day following the deposit referred to in clause (a) with respect to the Securities of a series, the Company’s obligations set forth in the covenant or covenants for such series of Securities established as contemplated by Section 2.02(t) will terminate, and clauses (d) (to the extent relating to such covenant or covenants), (e) and (h) of Section 6.01 will no longer constitute Events of Default with respect to the Securities of a series, provided the following conditions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complied with clauses (a), (b) and (d) of Section 12.02;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delivered to the Trustee an Opinion of Counsel to the effect that the holders of the Securities of such series will not recognize income, gain or loss for U.S. federal income tax purposes as a result of the defeasance and will be subject to U.S. federal income tax on the same amount and in the same manner and at the same times as would otherwise have been the case.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stated above, none of the Company’s obligations under the Indenture will be discharged.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12.04 </w:t>
      </w:r>
      <w:r>
        <w:rPr>
          <w:rFonts w:ascii="Times New Roman;Times;Serif" w:hAnsi="Times New Roman;Times;Serif"/>
          <w:b w:val="false"/>
          <w:i w:val="false"/>
          <w:caps w:val="false"/>
          <w:smallCaps w:val="false"/>
          <w:sz w:val="20"/>
          <w:u w:val="single"/>
        </w:rPr>
        <w:t>Deposited Moneys to be Held in Trust by Trustee; Miscellaneous Provisions</w:t>
      </w:r>
      <w:r>
        <w:rPr>
          <w:rFonts w:ascii="Times New Roman;Times;Serif" w:hAnsi="Times New Roman;Times;Serif"/>
          <w:b w:val="false"/>
          <w:i w:val="false"/>
          <w:caps w:val="false"/>
          <w:smallCaps w:val="false"/>
          <w:sz w:val="20"/>
        </w:rPr>
        <w:t>. All moneys and U.S. Government Obligations (including the proceeds thereof) deposited with the Trustee pursuant to the provisions of Section 12.02 or 12.03 shall be held in trust and applied by it to the payment, either directly or through any paying agent (including the Company if acting as its own paying agent), to the holders of the particular Securities for payment or redemption of which such moneys or U.S. Government Obligations have been deposited with the Trustee, of all sums due and to become due thereon for principal, premium, if any, and interest,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and indemnify the Trustee against any tax, fee or other charge imposed on or assessed against the U.S. Government Obligations deposited pursuant to Section 12.01 or 12.03 or the principal and interest received in respect thereof other than any such tax, fee or other charge which by law is for the account of the holders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to the contrary notwithstanding, the Trustee shall deliver or pay to the Company from time to time upon request of the Company any money or U.S. Government Obligations held by it as provided in Section 12.02 or 12.03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legal defeasance or covenant defeasance, as the case may be, with respect to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12.05 </w:t>
      </w:r>
      <w:r>
        <w:rPr>
          <w:rFonts w:ascii="Times New Roman;Times;Serif" w:hAnsi="Times New Roman;Times;Serif"/>
          <w:b w:val="false"/>
          <w:i w:val="false"/>
          <w:caps w:val="false"/>
          <w:smallCaps w:val="false"/>
          <w:sz w:val="20"/>
          <w:u w:val="single"/>
        </w:rPr>
        <w:t>Paying Agent to Repay Moneys Held</w:t>
      </w:r>
      <w:r>
        <w:rPr>
          <w:rFonts w:ascii="Times New Roman;Times;Serif" w:hAnsi="Times New Roman;Times;Serif"/>
          <w:b w:val="false"/>
          <w:i w:val="false"/>
          <w:caps w:val="false"/>
          <w:smallCaps w:val="false"/>
          <w:sz w:val="20"/>
        </w:rPr>
        <w:t>. Upon the satisfaction and discharge of this Indenture all moneys then held by any paying agent of the Securities (other than the Trustee) shall, upon demand of the Company, be repaid to the Company or paid to the Trustee, and thereupon such paying agent shall be released from all further liability with respect to such moneys.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12.06 </w:t>
      </w:r>
      <w:r>
        <w:rPr>
          <w:rFonts w:ascii="Times New Roman;Times;Serif" w:hAnsi="Times New Roman;Times;Serif"/>
          <w:b w:val="false"/>
          <w:i w:val="false"/>
          <w:caps w:val="false"/>
          <w:smallCaps w:val="false"/>
          <w:sz w:val="20"/>
          <w:u w:val="single"/>
        </w:rPr>
        <w:t>Return of Unclaimed Moneys</w:t>
      </w:r>
      <w:r>
        <w:rPr>
          <w:rFonts w:ascii="Times New Roman;Times;Serif" w:hAnsi="Times New Roman;Times;Serif"/>
          <w:b w:val="false"/>
          <w:i w:val="false"/>
          <w:caps w:val="false"/>
          <w:smallCaps w:val="false"/>
          <w:sz w:val="20"/>
        </w:rPr>
        <w:t>. Any moneys deposited with or paid to the Trustee for payment of the principal of, premium, if any, or interest, if any, on Securities of any series and not applied but remaining unclaimed by the holders of Securities of that series for two years after the date upon which the principal of, premium, if any, or interest, if any, on such Securities, as the case may be, shall have become due and payable, shall be repaid to the Company by the Trustee on written demand; and the holder of any such Securities shall thereafter look only to the Company for any payment which such holder may be entitled to collect and all liability of the Trustee with respect to such money shall thereupon cease.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12.07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If and for so long as the Trustee is unable to apply any money or U.S. Government Obligations held in trust pursuant to Section 12.01, 12.02 or 12.03 by reason of any legal proceeding or by reason of any order or judgment of any court or governmental authority enjoining, restraining or otherwise prohibiting such application, the Company’s obligations under the Indenture and the Securities will be reinstated as though no such deposit in trust had been made. If the Company makes any payment of principal of or interest on any Securities because of the reinstatement of its obligations, it will be subrogated to the rights of the Securityholders of such Securities to receive such payment from the money or U.S. Government Obligations held in trust.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w:t>
      </w:r>
      <w:r>
        <w:rPr>
          <w:rFonts w:ascii="Times New Roman;Times;Serif" w:hAnsi="Times New Roman;Times;Serif"/>
          <w:b w:val="false"/>
          <w:i w:val="false"/>
          <w:caps/>
          <w:sz w:val="20"/>
        </w:rPr>
        <w:br/>
        <w:t>IMMUNITY OF INCORPORATORS, STOCKHOLDERS,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13.01 </w:t>
      </w:r>
      <w:r>
        <w:rPr>
          <w:rFonts w:ascii="Times New Roman;Times;Serif" w:hAnsi="Times New Roman;Times;Serif"/>
          <w:b w:val="false"/>
          <w:i w:val="false"/>
          <w:caps w:val="false"/>
          <w:smallCaps w:val="false"/>
          <w:sz w:val="20"/>
          <w:u w:val="single"/>
        </w:rPr>
        <w:t>Indenture and Securities Solely Corporate Obligations</w:t>
      </w:r>
      <w:r>
        <w:rPr>
          <w:rFonts w:ascii="Times New Roman;Times;Serif" w:hAnsi="Times New Roman;Times;Serif"/>
          <w:b w:val="false"/>
          <w:i w:val="false"/>
          <w:caps w:val="false"/>
          <w:smallCaps w:val="false"/>
          <w:sz w:val="20"/>
        </w:rPr>
        <w:t>. No recourse for the payment of the principal of, premium, if any, or interest, if any,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XIV</w:t>
      </w:r>
      <w:r>
        <w:rPr>
          <w:rFonts w:ascii="Times New Roman;Times;Serif" w:hAnsi="Times New Roman;Times;Serif"/>
          <w:b w:val="false"/>
          <w:i w:val="false"/>
          <w:caps/>
          <w:sz w:val="20"/>
        </w:rPr>
        <w:br/>
        <w:t>MISCELLANEOUS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14.01 </w:t>
      </w:r>
      <w:r>
        <w:rPr>
          <w:rFonts w:ascii="Times New Roman;Times;Serif" w:hAnsi="Times New Roman;Times;Serif"/>
          <w:b w:val="false"/>
          <w:i w:val="false"/>
          <w:caps w:val="false"/>
          <w:smallCaps w:val="false"/>
          <w:sz w:val="20"/>
          <w:u w:val="single"/>
        </w:rPr>
        <w:t>Provisions Binding on Company’s Successors</w:t>
      </w:r>
      <w:r>
        <w:rPr>
          <w:rFonts w:ascii="Times New Roman;Times;Serif" w:hAnsi="Times New Roman;Times;Serif"/>
          <w:b w:val="false"/>
          <w:i w:val="false"/>
          <w:caps w:val="false"/>
          <w:smallCaps w:val="false"/>
          <w:sz w:val="20"/>
        </w:rPr>
        <w:t>. All the covenants, stipulations, promises and agreements in this Indenture contained by the Company shall bind its successors and assigns whether so expressed or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14.02 </w:t>
      </w:r>
      <w:r>
        <w:rPr>
          <w:rFonts w:ascii="Times New Roman;Times;Serif" w:hAnsi="Times New Roman;Times;Serif"/>
          <w:b w:val="false"/>
          <w:i w:val="false"/>
          <w:caps w:val="false"/>
          <w:smallCaps w:val="false"/>
          <w:sz w:val="20"/>
          <w:u w:val="single"/>
        </w:rPr>
        <w:t>Official Acts by Successor Corporation</w:t>
      </w:r>
      <w:r>
        <w:rPr>
          <w:rFonts w:ascii="Times New Roman;Times;Serif" w:hAnsi="Times New Roman;Times;Serif"/>
          <w:b w:val="false"/>
          <w:i w:val="false"/>
          <w:caps w:val="false"/>
          <w:smallCaps w:val="false"/>
          <w:sz w:val="20"/>
        </w:rPr>
        <w:t>. Any act or proceeding by any provision of this Indenture authorized or required to be done or performed by any board, committee or officer of the Company shall and may be done and performed with like force and effect by the like board, committee or officer of any corporation that shall at the time be the lawful sole successor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14.03 </w:t>
      </w:r>
      <w:r>
        <w:rPr>
          <w:rFonts w:ascii="Times New Roman;Times;Serif" w:hAnsi="Times New Roman;Times;Serif"/>
          <w:b w:val="false"/>
          <w:i w:val="false"/>
          <w:caps w:val="false"/>
          <w:smallCaps w:val="false"/>
          <w:sz w:val="20"/>
          <w:u w:val="single"/>
        </w:rPr>
        <w:t>Addresses for Notices, Notice to Holders, Waiver</w:t>
      </w:r>
      <w:r>
        <w:rPr>
          <w:rFonts w:ascii="Times New Roman;Times;Serif" w:hAnsi="Times New Roman;Times;Serif"/>
          <w:b w:val="false"/>
          <w:i w:val="false"/>
          <w:caps w:val="false"/>
          <w:smallCaps w:val="false"/>
          <w:sz w:val="20"/>
        </w:rPr>
        <w:t>. Any notice or demand which by any provision of this Indenture is required or permitted to be given or served by the Trustee or by the holders of Securities on the Company may be given or served by being deposited postage prepaid by first class mail in a post office letter box addressed (until another address is filed by the Company with the Trustee) to SAIHEAT Limited, #01-05 Pearl’s Hill Terrace, Singapore, 168976, Attn: Ian Chow. Any notice, direction, request or demand by any Securityholder to or upon the Trustee shall be deemed to have been sufficiently given or made, for all purposes, if given or made in writing at the principal office of the Trustee, addressed to the attention of its corporate trust office as specified in Section 7.13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of holders of any event, such notice shall be sufficiently given (unless otherwise herein expressly provided) if in writing and mailed, first-class postage prepaid,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by mail, then such notification as shall be made with approval of the Trustee shall constitute a sufficient notification for every purpose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14.04 </w:t>
      </w:r>
      <w:r>
        <w:rPr>
          <w:rFonts w:ascii="Times New Roman;Times;Serif" w:hAnsi="Times New Roman;Times;Serif"/>
          <w:b w:val="false"/>
          <w:i w:val="false"/>
          <w:caps w:val="false"/>
          <w:smallCaps w:val="false"/>
          <w:sz w:val="20"/>
          <w:u w:val="single"/>
        </w:rPr>
        <w:t>New York Contract</w:t>
      </w:r>
      <w:r>
        <w:rPr>
          <w:rFonts w:ascii="Times New Roman;Times;Serif" w:hAnsi="Times New Roman;Times;Serif"/>
          <w:b w:val="false"/>
          <w:i w:val="false"/>
          <w:caps w:val="false"/>
          <w:smallCaps w:val="false"/>
          <w:sz w:val="20"/>
        </w:rPr>
        <w:t>. This Indenture and each Security shall be deemed to be a contract made under the laws of the State of New York, and for all purposes shall be construed in accordance with the laws of said State without regard to conflicts of laws principles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14.05 </w:t>
      </w:r>
      <w:r>
        <w:rPr>
          <w:rFonts w:ascii="Times New Roman;Times;Serif" w:hAnsi="Times New Roman;Times;Serif"/>
          <w:b w:val="false"/>
          <w:i w:val="false"/>
          <w:caps w:val="false"/>
          <w:smallCaps w:val="false"/>
          <w:sz w:val="20"/>
          <w:u w:val="single"/>
        </w:rPr>
        <w:t>Evidence of Compliance with Conditions Precedent</w:t>
      </w:r>
      <w:r>
        <w:rPr>
          <w:rFonts w:ascii="Times New Roman;Times;Serif" w:hAnsi="Times New Roman;Times;Serif"/>
          <w:b w:val="false"/>
          <w:i w:val="false"/>
          <w:caps w:val="false"/>
          <w:smallCaps w:val="false"/>
          <w:sz w:val="20"/>
        </w:rPr>
        <w:t>. Upon any application or demand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provided for in this Indenture shall include: (1) a statement that the person making such certificate or opinion has read such covenant or condition; (2) a brief statement as to the nature and scope of the examination or investigation upon which the statements or opinion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14.06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 In any case where the date of maturity of interest, if any, on or principal of, or premium, if any, on the Securities or the date fixed for redemption or repayment of any Security will be in The City of New York, New York, a Saturday, a Sunday, a legal holiday or a day on which banking institutions are authorized or required by law or executive order to close or remain closed, then payment of such interest, if any, on or principal of or premium, if any, on the Securities need not be made on such date but may be made on the next succeeding day not in such city, a Saturday, a Sunday, a legal holiday or a day on which banking institutions are authorized or required by law or executive order to close or remain closed, with the same force and effect as if made on the date of maturity or a date fixed for redemption or repayment, and no interest shall accrue for the period from and after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14.07 </w:t>
      </w:r>
      <w:r>
        <w:rPr>
          <w:rFonts w:ascii="Times New Roman;Times;Serif" w:hAnsi="Times New Roman;Times;Serif"/>
          <w:b w:val="false"/>
          <w:i w:val="false"/>
          <w:caps w:val="false"/>
          <w:smallCaps w:val="false"/>
          <w:sz w:val="20"/>
          <w:u w:val="single"/>
        </w:rPr>
        <w:t>Securities in a Specified Currency other than Dollars</w:t>
      </w:r>
      <w:r>
        <w:rPr>
          <w:rFonts w:ascii="Times New Roman;Times;Serif" w:hAnsi="Times New Roman;Times;Serif"/>
          <w:b w:val="false"/>
          <w:i w:val="false"/>
          <w:caps w:val="false"/>
          <w:smallCaps w:val="false"/>
          <w:sz w:val="20"/>
        </w:rPr>
        <w:t>. Unless otherwise specified as contemplated by Section 2.02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any Securities of any series which are denominated in a Specified Currency other than Dollars then the principal amount of Securities of such series which shall be deemed to be Outstanding for the purpose of taking such action shall be that amount of Dollars that could be obtained for such amount of such Specified Currency at the Market Exchange Rate. For purposes of this Section 14.07, Market Exchange Rate shall mean the noon Dollar buying rate in New York City for cable transfers of the Specified Currency published by the Federal Reserve Bank of New York. If such Market Exchange Rate is not available for any reason with respect to such Specified Currency, the Trustee shall use, in its sole discretion and without liability on its part, such quotation of the Federal Reserve Bank of New York or such other quotations as the Trustee shall deem appropriate. The provisions of this paragraph shall apply in determining the equivalent principal amount in respect of Securities of a series denominated in a Specified Currency other than Dollars in connection with any action taken by holders of Securities pursuant to the terms of this Indenture, including, without limitation, any determination contemplated in Section 6.01(d) or (e).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and determination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Company and all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14.08 </w:t>
      </w:r>
      <w:r>
        <w:rPr>
          <w:rFonts w:ascii="Times New Roman;Times;Serif" w:hAnsi="Times New Roman;Times;Serif"/>
          <w:b w:val="false"/>
          <w:i w:val="false"/>
          <w:caps w:val="false"/>
          <w:smallCaps w:val="false"/>
          <w:sz w:val="20"/>
          <w:u w:val="single"/>
        </w:rPr>
        <w:t>Trust Indenture Act to Control</w:t>
      </w:r>
      <w:r>
        <w:rPr>
          <w:rFonts w:ascii="Times New Roman;Times;Serif" w:hAnsi="Times New Roman;Times;Serif"/>
          <w:b w:val="false"/>
          <w:i w:val="false"/>
          <w:caps w:val="false"/>
          <w:smallCaps w:val="false"/>
          <w:sz w:val="20"/>
        </w:rPr>
        <w:t>. If and to the extent that any provision of this Indenture limits, qualifies or conflicts with the duties imposed by, or with another provision (an “</w:t>
      </w:r>
      <w:r>
        <w:rPr>
          <w:rFonts w:ascii="Times New Roman;Times;Serif" w:hAnsi="Times New Roman;Times;Serif"/>
          <w:b/>
          <w:i w:val="false"/>
          <w:caps w:val="false"/>
          <w:smallCaps w:val="false"/>
          <w:sz w:val="20"/>
        </w:rPr>
        <w:t>incorporated provision</w:t>
      </w:r>
      <w:r>
        <w:rPr>
          <w:rFonts w:ascii="Times New Roman;Times;Serif" w:hAnsi="Times New Roman;Times;Serif"/>
          <w:b w:val="false"/>
          <w:i w:val="false"/>
          <w:caps w:val="false"/>
          <w:smallCaps w:val="false"/>
          <w:sz w:val="20"/>
        </w:rPr>
        <w:t>”) included in this Indenture by operation of, Sections 310 to 318, inclusive, of the Trust Indenture Act of 1939, such imposed duties or incorporated provision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14.09 </w:t>
      </w:r>
      <w:r>
        <w:rPr>
          <w:rFonts w:ascii="Times New Roman;Times;Serif" w:hAnsi="Times New Roman;Times;Serif"/>
          <w:b w:val="false"/>
          <w:i w:val="false"/>
          <w:caps w:val="false"/>
          <w:smallCaps w:val="false"/>
          <w:sz w:val="20"/>
          <w:u w:val="single"/>
        </w:rPr>
        <w:t>Table of Contents, Headings, etc</w:t>
      </w:r>
      <w:r>
        <w:rPr>
          <w:rFonts w:ascii="Times New Roman;Times;Serif" w:hAnsi="Times New Roman;Times;Serif"/>
          <w:b w:val="false"/>
          <w:i w:val="false"/>
          <w:caps w:val="false"/>
          <w:smallCaps w:val="false"/>
          <w:sz w:val="20"/>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14.10 </w:t>
      </w:r>
      <w:r>
        <w:rPr>
          <w:rFonts w:ascii="Times New Roman;Times;Serif" w:hAnsi="Times New Roman;Times;Serif"/>
          <w:b w:val="false"/>
          <w:i w:val="false"/>
          <w:caps w:val="false"/>
          <w:smallCaps w:val="false"/>
          <w:sz w:val="20"/>
          <w:u w:val="single"/>
        </w:rPr>
        <w:t>Execution in Counterparts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This Indenture may be executed in any number of counterparts (including those transmitted by electronic transmission (including, without limitation, facsimile and e-mail)), all of which taken together shall constitute one and the same agreement. Delivery of an executed signature page by facsimile or electronic transmission (including any electronic signature covered by the U.S. federal ESIGN Act of 2000, Uniform Electronic Transactions Act, the Electronic Signatures and Records Act or other applicable law, e.g., </w:t>
      </w:r>
      <w:r>
        <w:rPr>
          <w:rFonts w:ascii="Times New Roman;Times;Serif" w:hAnsi="Times New Roman;Times;Serif"/>
          <w:b w:val="false"/>
          <w:i w:val="false"/>
          <w:caps w:val="false"/>
          <w:smallCaps w:val="false"/>
          <w:sz w:val="20"/>
          <w:u w:val="single"/>
          <w:shd w:fill="FFFFFF" w:val="clear"/>
        </w:rPr>
        <w:t>www.docusign.com</w:t>
      </w:r>
      <w:r>
        <w:rPr>
          <w:rFonts w:ascii="Times New Roman;Times;Serif" w:hAnsi="Times New Roman;Times;Serif"/>
          <w:b w:val="false"/>
          <w:i w:val="false"/>
          <w:caps w:val="false"/>
          <w:smallCaps w:val="false"/>
          <w:sz w:val="20"/>
          <w:shd w:fill="FFFFFF" w:val="clear"/>
        </w:rPr>
        <w:t>) shall be as effective as delivery of a manually signed counterpart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14.11 </w:t>
      </w:r>
      <w:r>
        <w:rPr>
          <w:rFonts w:ascii="Times New Roman;Times;Serif" w:hAnsi="Times New Roman;Times;Serif"/>
          <w:b w:val="false"/>
          <w:i w:val="false"/>
          <w:caps w:val="false"/>
          <w:smallCaps w:val="false"/>
          <w:sz w:val="20"/>
          <w:u w:val="single"/>
        </w:rPr>
        <w:t>Separability; Benefits</w:t>
      </w:r>
      <w:r>
        <w:rPr>
          <w:rFonts w:ascii="Times New Roman;Times;Serif" w:hAnsi="Times New Roman;Times;Serif"/>
          <w:b w:val="false"/>
          <w:i w:val="false"/>
          <w:caps w:val="false"/>
          <w:smallCaps w:val="false"/>
          <w:sz w:val="20"/>
        </w:rPr>
        <w:t>. In case any one or more of the provisions contained in this Indenture or in the Securities shall for any reason be held to be invalid, illegal or unenforceable, in any respect, then, to the extent permitted by law, such invalidity, illegality or unenforceability of the remaining provisions shall not in any way be affected or impaired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14.12 </w:t>
      </w:r>
      <w:r>
        <w:rPr>
          <w:rFonts w:ascii="Times New Roman;Times;Serif" w:hAnsi="Times New Roman;Times;Serif"/>
          <w:b w:val="false"/>
          <w:i w:val="false"/>
          <w:caps w:val="false"/>
          <w:smallCaps w:val="false"/>
          <w:sz w:val="20"/>
          <w:u w:val="single"/>
        </w:rPr>
        <w:t>Section 14.12 U.S.A. Patriot Act</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reasonably request in order for the Trustee to satisfy the requirements of the U.S.A. Patriot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expressed or implied, shall give to any person, other than the parties hereto and their successors hereunder, and the holders of the Securities, any benefit or any legal or equitable right, remedy or claim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date first written above.</w:t>
      </w:r>
    </w:p>
    <w:p>
      <w:pPr>
        <w:pStyle w:val="TextBody"/>
        <w:bidi w:val="0"/>
        <w:spacing w:before="0" w:after="0"/>
        <w:ind w:left="4320" w:right="0" w:hanging="0"/>
        <w:jc w:val="left"/>
        <w:rPr>
          <w:caps w:val="false"/>
          <w:smallCaps w:val="false"/>
        </w:rPr>
      </w:pPr>
      <w:r>
        <w:rPr>
          <w:caps w:val="false"/>
          <w:smallCaps w:val="false"/>
        </w:rPr>
        <w:t> </w:t>
      </w:r>
    </w:p>
    <w:tbl>
      <w:tblPr>
        <w:tblW w:w="1609" w:type="dxa"/>
        <w:jc w:val="left"/>
        <w:tblInd w:w="0" w:type="dxa"/>
        <w:tblLayout w:type="fixed"/>
        <w:tblCellMar>
          <w:top w:w="0" w:type="dxa"/>
          <w:left w:w="0" w:type="dxa"/>
          <w:bottom w:w="0" w:type="dxa"/>
          <w:right w:w="0" w:type="dxa"/>
        </w:tblCellMar>
      </w:tblPr>
      <w:tblGrid>
        <w:gridCol w:w="75"/>
        <w:gridCol w:w="737"/>
        <w:gridCol w:w="797"/>
      </w:tblGrid>
      <w:tr>
        <w:trPr/>
        <w:tc>
          <w:tcPr>
            <w:tcW w:w="75"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SAIHEAT Limited</w:t>
            </w:r>
          </w:p>
        </w:tc>
      </w:tr>
      <w:tr>
        <w:trPr/>
        <w:tc>
          <w:tcPr>
            <w:tcW w:w="75"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9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as Trustee</w:t>
            </w:r>
          </w:p>
        </w:tc>
      </w:tr>
      <w:tr>
        <w:trPr/>
        <w:tc>
          <w:tcPr>
            <w:tcW w:w="75"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9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9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5" w:name="ea029605601ex5-1.htm"/>
      <w:bookmarkStart w:id="36" w:name="ksea029605601ex51"/>
      <w:bookmarkEnd w:id="35"/>
      <w:bookmarkEnd w:id="36"/>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both"/>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2910"/>
        <w:gridCol w:w="2375"/>
      </w:tblGrid>
      <w:tr>
        <w:trPr/>
        <w:tc>
          <w:tcPr>
            <w:tcW w:w="2910" w:type="dxa"/>
            <w:vMerge w:val="restart"/>
            <w:tcBorders/>
            <w:vAlign w:val="center"/>
          </w:tcPr>
          <w:p>
            <w:pPr>
              <w:pStyle w:val="TableContents"/>
              <w:bidi w:val="0"/>
              <w:spacing w:before="0" w:after="283"/>
              <w:jc w:val="left"/>
              <w:rPr/>
            </w:pPr>
            <w:r>
              <w:rPr/>
              <w:drawing>
                <wp:inline distT="0" distB="0" distL="0" distR="0">
                  <wp:extent cx="1800225" cy="523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1800225" cy="523875"/>
                          </a:xfrm>
                          <a:prstGeom prst="rect">
                            <a:avLst/>
                          </a:prstGeom>
                        </pic:spPr>
                      </pic:pic>
                    </a:graphicData>
                  </a:graphic>
                </wp:inline>
              </w:drawing>
            </w:r>
            <w:r>
              <w:rPr/>
              <w:t> </w:t>
            </w:r>
          </w:p>
        </w:tc>
        <w:tc>
          <w:tcPr>
            <w:tcW w:w="23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Harney Westwood &amp; Riegels</w:t>
            </w:r>
          </w:p>
        </w:tc>
      </w:tr>
      <w:tr>
        <w:trPr/>
        <w:tc>
          <w:tcPr>
            <w:tcW w:w="2910" w:type="dxa"/>
            <w:vMerge w:val="continue"/>
            <w:tcBorders/>
            <w:vAlign w:val="center"/>
          </w:tcPr>
          <w:p>
            <w:pPr>
              <w:pStyle w:val="Normal"/>
              <w:bidi w:val="0"/>
              <w:jc w:val="left"/>
              <w:rPr/>
            </w:pPr>
            <w:r>
              <w:rPr/>
            </w:r>
          </w:p>
        </w:tc>
        <w:tc>
          <w:tcPr>
            <w:tcW w:w="23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14th Floor, Alexandra House</w:t>
            </w:r>
          </w:p>
        </w:tc>
      </w:tr>
      <w:tr>
        <w:trPr/>
        <w:tc>
          <w:tcPr>
            <w:tcW w:w="2910" w:type="dxa"/>
            <w:vMerge w:val="continue"/>
            <w:tcBorders/>
            <w:vAlign w:val="center"/>
          </w:tcPr>
          <w:p>
            <w:pPr>
              <w:pStyle w:val="Normal"/>
              <w:bidi w:val="0"/>
              <w:jc w:val="left"/>
              <w:rPr/>
            </w:pPr>
            <w:r>
              <w:rPr/>
            </w:r>
          </w:p>
        </w:tc>
        <w:tc>
          <w:tcPr>
            <w:tcW w:w="23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 Chater Road</w:t>
            </w:r>
          </w:p>
        </w:tc>
      </w:tr>
      <w:tr>
        <w:trPr/>
        <w:tc>
          <w:tcPr>
            <w:tcW w:w="2910" w:type="dxa"/>
            <w:vMerge w:val="continue"/>
            <w:tcBorders/>
            <w:vAlign w:val="center"/>
          </w:tcPr>
          <w:p>
            <w:pPr>
              <w:pStyle w:val="Normal"/>
              <w:bidi w:val="0"/>
              <w:jc w:val="left"/>
              <w:rPr/>
            </w:pPr>
            <w:r>
              <w:rPr/>
            </w:r>
          </w:p>
        </w:tc>
        <w:tc>
          <w:tcPr>
            <w:tcW w:w="23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Central</w:t>
            </w:r>
          </w:p>
        </w:tc>
      </w:tr>
      <w:tr>
        <w:trPr/>
        <w:tc>
          <w:tcPr>
            <w:tcW w:w="2910" w:type="dxa"/>
            <w:vMerge w:val="continue"/>
            <w:tcBorders/>
            <w:vAlign w:val="center"/>
          </w:tcPr>
          <w:p>
            <w:pPr>
              <w:pStyle w:val="Normal"/>
              <w:bidi w:val="0"/>
              <w:jc w:val="left"/>
              <w:rPr/>
            </w:pPr>
            <w:r>
              <w:rPr/>
            </w:r>
          </w:p>
        </w:tc>
        <w:tc>
          <w:tcPr>
            <w:tcW w:w="23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Hong Kong</w:t>
            </w:r>
          </w:p>
        </w:tc>
      </w:tr>
      <w:tr>
        <w:trPr/>
        <w:tc>
          <w:tcPr>
            <w:tcW w:w="2910" w:type="dxa"/>
            <w:vMerge w:val="continue"/>
            <w:tcBorders/>
            <w:vAlign w:val="center"/>
          </w:tcPr>
          <w:p>
            <w:pPr>
              <w:pStyle w:val="Normal"/>
              <w:bidi w:val="0"/>
              <w:jc w:val="left"/>
              <w:rPr/>
            </w:pPr>
            <w:r>
              <w:rPr/>
            </w:r>
          </w:p>
        </w:tc>
        <w:tc>
          <w:tcPr>
            <w:tcW w:w="23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Tel: +852 5806 7800</w:t>
            </w:r>
          </w:p>
        </w:tc>
      </w:tr>
      <w:tr>
        <w:trPr/>
        <w:tc>
          <w:tcPr>
            <w:tcW w:w="2910" w:type="dxa"/>
            <w:vMerge w:val="continue"/>
            <w:tcBorders/>
            <w:vAlign w:val="center"/>
          </w:tcPr>
          <w:p>
            <w:pPr>
              <w:pStyle w:val="Normal"/>
              <w:bidi w:val="0"/>
              <w:jc w:val="left"/>
              <w:rPr/>
            </w:pPr>
            <w:r>
              <w:rPr/>
            </w:r>
          </w:p>
        </w:tc>
        <w:tc>
          <w:tcPr>
            <w:tcW w:w="23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Fax: +852 5806 7810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056136.0002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SAIHEAT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 Governors Square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Lime Tree Bay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30746, Seven Mile Beach</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KY1-1203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SAIHEAT Limited (the </w:t>
      </w:r>
      <w:r>
        <w:rPr>
          <w:rFonts w:ascii="Times New Roman;Times;Serif" w:hAnsi="Times New Roman;Times;Serif"/>
          <w:b/>
          <w:i/>
          <w:caps w:val="false"/>
          <w:smallCaps w:val="false"/>
          <w:sz w:val="20"/>
        </w:rPr>
        <w:t>Company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lawyers qualified to practise in the Cayman Islands and have acted as Cayman Islands legal advisers to the Company in connection with the Company’s registration statement on Form F-3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xml:space="preserve">), including all amendments or supplements thereto, and accompanying prospectus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xml:space="preserve">), relating to the public offering by the Company of up to US$300,000,000 in the aggregate of (i) class A ordinary shares of a par value of US$0.0015 each in the capital of the Company (the </w:t>
      </w:r>
      <w:r>
        <w:rPr>
          <w:rFonts w:ascii="Times New Roman;Times;Serif" w:hAnsi="Times New Roman;Times;Serif"/>
          <w:b/>
          <w:i/>
          <w:caps w:val="false"/>
          <w:smallCaps w:val="false"/>
          <w:sz w:val="20"/>
        </w:rPr>
        <w:t>Class A Ordinary Shares</w:t>
      </w:r>
      <w:r>
        <w:rPr>
          <w:rFonts w:ascii="Times New Roman;Times;Serif" w:hAnsi="Times New Roman;Times;Serif"/>
          <w:b w:val="false"/>
          <w:i w:val="false"/>
          <w:caps w:val="false"/>
          <w:smallCaps w:val="false"/>
          <w:sz w:val="20"/>
        </w:rPr>
        <w:t xml:space="preserve">), (ii) warrants that entitle the holder to purchase Class A Ordinary Shares, preference shares or debt securities of the Company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xml:space="preserve">), (iii) debt securities, which may include debt securities exchangeable for or convertible into ordinary shares or preference shares (the </w:t>
      </w:r>
      <w:r>
        <w:rPr>
          <w:rFonts w:ascii="Times New Roman;Times;Serif" w:hAnsi="Times New Roman;Times;Serif"/>
          <w:b/>
          <w:i/>
          <w:caps w:val="false"/>
          <w:smallCaps w:val="false"/>
          <w:sz w:val="20"/>
        </w:rPr>
        <w:t>Debt Securities</w:t>
      </w:r>
      <w:r>
        <w:rPr>
          <w:rFonts w:ascii="Times New Roman;Times;Serif" w:hAnsi="Times New Roman;Times;Serif"/>
          <w:b w:val="false"/>
          <w:i w:val="false"/>
          <w:caps w:val="false"/>
          <w:smallCaps w:val="false"/>
          <w:sz w:val="20"/>
        </w:rPr>
        <w:t xml:space="preserve">), (iv) rights to purchase Class A Ordinary Shares, preference shares or debt securities that may be offered by the Company to security holders (the </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xml:space="preserve">) or (v) units to be issued comprising any combination of the foregoing securities (the </w:t>
      </w:r>
      <w:r>
        <w:rPr>
          <w:rFonts w:ascii="Times New Roman;Times;Serif" w:hAnsi="Times New Roman;Times;Serif"/>
          <w:b/>
          <w:i/>
          <w:caps w:val="false"/>
          <w:smallCaps w:val="false"/>
          <w:sz w:val="20"/>
        </w:rPr>
        <w:t>Units</w:t>
      </w:r>
      <w:r>
        <w:rPr>
          <w:rFonts w:ascii="Times New Roman;Times;Serif" w:hAnsi="Times New Roman;Times;Serif"/>
          <w:b w:val="false"/>
          <w:i w:val="false"/>
          <w:caps w:val="false"/>
          <w:smallCaps w:val="false"/>
          <w:sz w:val="20"/>
        </w:rPr>
        <w:t xml:space="preserve">, together with the Class A Ordinary Shares, Warrants, Debt Securities, Rights, collectively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in one or more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and 23.3 to the Registration Statement. The Company has informed us that the Securities will be sold or delivered on a delayed or continuous basis from time to time as set forth in the Registration Statement (and any amendments and/or supplement thereto), the prospectus contained therein and any prospectus supplement. We understand that prior to the sale of any Securities under the Registration Statement, the Company will afford us an opportunity to review the applicable authorisation (the </w:t>
      </w:r>
      <w:r>
        <w:rPr>
          <w:rFonts w:ascii="Times New Roman;Times;Serif" w:hAnsi="Times New Roman;Times;Serif"/>
          <w:b/>
          <w:i/>
          <w:caps w:val="false"/>
          <w:smallCaps w:val="false"/>
          <w:sz w:val="20"/>
        </w:rPr>
        <w:t>Board Authorisations</w:t>
      </w:r>
      <w:r>
        <w:rPr>
          <w:rFonts w:ascii="Times New Roman;Times;Serif" w:hAnsi="Times New Roman;Times;Serif"/>
          <w:b w:val="false"/>
          <w:i w:val="false"/>
          <w:caps w:val="false"/>
          <w:smallCaps w:val="false"/>
          <w:sz w:val="20"/>
        </w:rPr>
        <w:t>) by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and, if necessary, amendments to the M&amp;A (as defined in Schedule 1) and operative documents pursuant to which such Securities are to be sold and will file any applicable amendment and/or supplement to the Registration Statement (which may include as an exhibit thereto an amended opinion) or prospectus supplement as we may reasonably consider necessary or appropriate by reason of the terms of the sale of such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27"/>
        <w:gridCol w:w="60"/>
        <w:gridCol w:w="2918"/>
      </w:tblGrid>
      <w:tr>
        <w:trPr/>
        <w:tc>
          <w:tcPr>
            <w:tcW w:w="722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British Virgin Islands is Harneys Hong Kong office's main jurisdiction of practice.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Jersey legal services are provided through a referral arrangement with Harneys (Jersey) which is an independently owned and controlled Jersey law firm.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 Partners: M Chu | Y Fan | SG Gray | IC Groark | SO Karolczuk | PM Kay | MW Kwok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WPT Lee | IN Mann | BP McCosker | R Ng | PJ Sephton</w:t>
            </w:r>
          </w:p>
        </w:tc>
        <w:tc>
          <w:tcPr>
            <w:tcW w:w="60" w:type="dxa"/>
            <w:tcBorders/>
            <w:vAlign w:val="center"/>
          </w:tcPr>
          <w:p>
            <w:pPr>
              <w:pStyle w:val="TableContents"/>
              <w:bidi w:val="0"/>
              <w:spacing w:before="0" w:after="283"/>
              <w:jc w:val="right"/>
              <w:rPr/>
            </w:pPr>
            <w:r>
              <w:rPr/>
              <w:t> </w:t>
            </w:r>
          </w:p>
        </w:tc>
        <w:tc>
          <w:tcPr>
            <w:tcW w:w="2918" w:type="dxa"/>
            <w:tcBorders/>
            <w:vAlign w:val="center"/>
          </w:tcPr>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Anguilla | Bermuda | British Virgin Islands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 Cyprus | Dubai | Hong Kong | Jersey</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 Luxembourg | Shanghai | Singapore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harneys.com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except as otherwise set forth in any applicable amendment and/or supplement to the Registration Statement or prospectus supplement: (i) any Class A Ordinary Shares will be issued by the Company under and in accordance with the M&amp;A, as amended from time to time; (ii) any Warrants will be issued pursuant to one or more warrant agreements to be entered into between the Company and one or more warrant agents in a form filed as an exhibit to a prospectus supplement to the Registration Statement or incorporated by reference therein, and one or more Board Authorisations; (iii) any Debt Securities will be issued pursuant to one or more indentures for debt security to be entered into between the Company and one or more debt security agents in a form filed as an exhibit to a prospectus supplement to the Registration Statement or incorporated by reference therein, and one or more Board Authorisations; (iv) any Rights will be issued pursuant to one or more rights agent agreements to be entered into between the Company and one or more rights agents in a form filed as an exhibit to a prospectus supplement to the Registration Statement or incorporated by reference therein, and one or more Board Authorisations; and (v) any Units will be issued pursuant to one or more unit agreements to be entered into by the Company and one or more unit agents in a form filed as an exhibit to a prospectus supplement to the Registration Statement or incorporated by reference therein, and one or more Board Authorisations (together, the </w:t>
      </w:r>
      <w:r>
        <w:rPr>
          <w:rFonts w:ascii="Times New Roman;Times;Serif" w:hAnsi="Times New Roman;Times;Serif"/>
          <w:b/>
          <w:i/>
          <w:caps w:val="false"/>
          <w:smallCaps w:val="false"/>
          <w:sz w:val="20"/>
        </w:rPr>
        <w:t>Securities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the Documents (as defined in Schedule 1) which we regard as necessary in order to issue this opinion. We have not examined any other documents, official or corporate records or external or internal registers and have not undertaken or been instructed to undertake any further enquiry or due diligence in relation to the transaction which is the subject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out in Schedule 2 which we have not verified.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upon the foregoing examinations and assumptions and having regard to legal considerations which we deem relevant, and subject to the qualifications set out in Schedule 3, we are of the opinion that under the laws of the Cayman Islands: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b/>
              </w:rPr>
              <w:t>Existence and Good Standing</w:t>
            </w:r>
            <w:r>
              <w:rPr/>
              <w:t>. The Company is an exempted company duly incorporated with limited liability and is validly existing and in good standing under the laws of the Cayman Islands. It is a separate legal entity and is subject to suit in its own name.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b/>
              </w:rPr>
              <w:t>Authorised Share Capital</w:t>
            </w:r>
            <w:r>
              <w:rPr/>
              <w:t>. Based on our review of the M&amp;A, the authorised share capital of the Company is US$35,000 divided into 22,024,624 class A ordinary shares of a par value of US$0.0015 each, 642,043 convertible class B ordinary shares of a par value of US$0.0015 each, and 666,666 preference shares of a par value of US$0.0015 each.</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b/>
              </w:rPr>
              <w:t>Valid Issuance of Class A Ordinary Shares.</w:t>
            </w:r>
            <w:r>
              <w:rPr/>
              <w:t xml:space="preserve"> When (i) the allotment and issue of the Class A Ordinary Shares as contemplated by the Registration Statement and the final terms of such allotment and issue have been duly approved and authorised by the appropriate Board Authorisations; (ii) the Class A Ordinary Shares are allotted, issued and fully paid for in accordance with the Registration Statement; and (iii) the names of the shareholders are entered in the register of members of the Company, the allotment and issue of the Class A Ordinary Shares will be duly authorised, and the Class A Ordinary Shares will be validly issued, fully paid and non-assessable.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b/>
              </w:rPr>
              <w:t xml:space="preserve">Valid Issuance of Securities. </w:t>
            </w:r>
            <w:r>
              <w:rPr/>
              <w:t>When (i) the creation and issue of the applicable Securities and the final terms of such Securities have been duly approved and authorised by the appropriate Board Authorisations; (ii) the applicable Securities Agreement relating to such Securities have been duly authorised and validly executed and delivered by the Company and the relevant parties thereunder in accordance with all relevant laws; and (iii) the certificates representing such Securities (if applicable) have been duly executed, countersigned, registered and delivered in accordance with the applicable Securities Agreement relating to such Securities and the applicable definitive purchase, underwriting or similar agreement approved by the Board, upon payment of the consideration by the purchasers thereof as contemplated by the Registration Statement (including any amendments and/or supplement thereto) and any prospectus supplements relating thereto, such Securities will constitute valid and legally binding obligations of the Company, enforceable against the Company in accordance with their terms.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b/>
              </w:rPr>
              <w:t>Cayman Islands Law</w:t>
            </w:r>
            <w:r>
              <w:rPr/>
              <w:t>. The statements under the headings “Description of Ordinary Shares, IPO Warrants, and Articles of Association” and “Enforceability of Civil Liability” in the prospectus forming part of the Registration Statement, to the extent that they constitute statements of Cayman Islands law, are accurate in all material respects as at the date of this opinion and such statements constitute our opinion.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confined to the matters expressly opined on herein and given on the basis of the laws of the Cayman Islands as they are in force and applied by the Cayman Islands courts at the date of this opinion. We have made no investigation of, and express no opinion on, the laws of any other jurisdiction. We express no opinion as to matters of fact. Except as specifically stated herein, we make no comment with respect to any representations and warranties which may be made by or with respect to the Company in the Registration Statement. We express no opinion with respect to the commercial terms of the transactions the subject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above opinion, we hereby consent to the filing of this opinion as an exhibit to the Registration Statement and to the reference made to our firm in the Registration Statement under the headings “Description of Ordinary Shares, IPO Warrants, and Articles of Association”, “Enforceability of Civil Liability” and “Legal Matters” and elsewhere in the prospectus included in the Registration Statement. In giving such consent, we do not thereby admit that we come within the category of persons whose consent is required under section 7 of the Securities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matters referred to herein and shall not be construed as extending to any other matter or document not referred to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shall be construed in accordance with the laws of the Cayman Islands.</w:t>
      </w:r>
    </w:p>
    <w:p>
      <w:pPr>
        <w:pStyle w:val="TextBody"/>
        <w:bidi w:val="0"/>
        <w:spacing w:before="0" w:after="0"/>
        <w:ind w:left="0" w:right="0" w:hanging="0"/>
        <w:jc w:val="both"/>
        <w:rPr>
          <w:caps w:val="false"/>
          <w:smallCaps w:val="false"/>
        </w:rPr>
      </w:pPr>
      <w:r>
        <w:rPr>
          <w:caps w:val="false"/>
          <w:smallCaps w:val="false"/>
        </w:rPr>
        <w:t> </w:t>
      </w:r>
    </w:p>
    <w:tbl>
      <w:tblPr>
        <w:tblW w:w="2690" w:type="dxa"/>
        <w:jc w:val="left"/>
        <w:tblInd w:w="0" w:type="dxa"/>
        <w:tblLayout w:type="fixed"/>
        <w:tblCellMar>
          <w:top w:w="0" w:type="dxa"/>
          <w:left w:w="0" w:type="dxa"/>
          <w:bottom w:w="0" w:type="dxa"/>
          <w:right w:w="0" w:type="dxa"/>
        </w:tblCellMar>
      </w:tblPr>
      <w:tblGrid>
        <w:gridCol w:w="2615"/>
        <w:gridCol w:w="75"/>
      </w:tblGrid>
      <w:tr>
        <w:trPr/>
        <w:tc>
          <w:tcPr>
            <w:tcW w:w="2615" w:type="dxa"/>
            <w:tcBorders/>
            <w:vAlign w:val="center"/>
          </w:tcPr>
          <w:p>
            <w:pPr>
              <w:pStyle w:val="TableContents"/>
              <w:bidi w:val="0"/>
              <w:spacing w:before="0" w:after="283"/>
              <w:jc w:val="left"/>
              <w:rPr/>
            </w:pPr>
            <w:r>
              <w:rPr/>
              <w:t>Yours faithfully</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20"/>
              </w:rPr>
            </w:pPr>
            <w:r>
              <w:rPr>
                <w:sz w:val="20"/>
              </w:rPr>
              <w:t>/s/ Harney Westwood &amp; Riegels</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both"/>
              <w:rPr>
                <w:b/>
                <w:sz w:val="20"/>
              </w:rPr>
            </w:pPr>
            <w:r>
              <w:rPr>
                <w:b/>
                <w:sz w:val="20"/>
              </w:rPr>
              <w:t>Harney Westwood &amp; Riegels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Documents Examined</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81"/>
        <w:gridCol w:w="9976"/>
      </w:tblGrid>
      <w:tr>
        <w:trPr/>
        <w:tc>
          <w:tcPr>
            <w:tcW w:w="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1</w:t>
            </w:r>
          </w:p>
        </w:tc>
        <w:tc>
          <w:tcPr>
            <w:tcW w:w="9976" w:type="dxa"/>
            <w:tcBorders/>
            <w:vAlign w:val="center"/>
          </w:tcPr>
          <w:p>
            <w:pPr>
              <w:pStyle w:val="TableContents"/>
              <w:bidi w:val="0"/>
              <w:spacing w:before="0" w:after="283"/>
              <w:jc w:val="both"/>
              <w:rPr/>
            </w:pPr>
            <w:r>
              <w:rPr/>
              <w:t>A copy of the certificate of incorporation of the Company dated 26 January 2021.</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50"/>
        <w:gridCol w:w="10015"/>
      </w:tblGrid>
      <w:tr>
        <w:trPr/>
        <w:tc>
          <w:tcPr>
            <w:tcW w:w="4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2</w:t>
            </w:r>
          </w:p>
        </w:tc>
        <w:tc>
          <w:tcPr>
            <w:tcW w:w="10015" w:type="dxa"/>
            <w:tcBorders/>
            <w:vAlign w:val="center"/>
          </w:tcPr>
          <w:p>
            <w:pPr>
              <w:pStyle w:val="TableContents"/>
              <w:bidi w:val="0"/>
              <w:spacing w:before="0" w:after="283"/>
              <w:jc w:val="both"/>
              <w:rPr/>
            </w:pPr>
            <w:r>
              <w:rPr/>
              <w:t>A copy of the certificate of incorporation on change of name of the Company dated 29 April 2022.</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47"/>
        <w:gridCol w:w="10019"/>
      </w:tblGrid>
      <w:tr>
        <w:trPr/>
        <w:tc>
          <w:tcPr>
            <w:tcW w:w="3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3</w:t>
            </w:r>
          </w:p>
        </w:tc>
        <w:tc>
          <w:tcPr>
            <w:tcW w:w="10019" w:type="dxa"/>
            <w:tcBorders/>
            <w:vAlign w:val="center"/>
          </w:tcPr>
          <w:p>
            <w:pPr>
              <w:pStyle w:val="TableContents"/>
              <w:bidi w:val="0"/>
              <w:spacing w:before="0" w:after="283"/>
              <w:jc w:val="both"/>
              <w:rPr/>
            </w:pPr>
            <w:r>
              <w:rPr/>
              <w:t>A copy of the certificate of incorporation on change of name of the Company dated 26 August 2024.</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 xml:space="preserve">A copy of the fifth amended and restated memorandum and articles of association of the Company adopted by special resolution dated 24 April 2026 (the </w:t>
            </w:r>
            <w:r>
              <w:rPr>
                <w:b/>
                <w:i/>
              </w:rPr>
              <w:t>M&amp;A</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A copy of the certificate of good standing in respect of the Company issued by the Registrar of Companies of the Cayman Islands dated 22 May 2026.</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52"/>
        <w:gridCol w:w="10013"/>
      </w:tblGrid>
      <w:tr>
        <w:trPr/>
        <w:tc>
          <w:tcPr>
            <w:tcW w:w="4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6</w:t>
            </w:r>
          </w:p>
        </w:tc>
        <w:tc>
          <w:tcPr>
            <w:tcW w:w="10013" w:type="dxa"/>
            <w:tcBorders/>
            <w:vAlign w:val="center"/>
          </w:tcPr>
          <w:p>
            <w:pPr>
              <w:pStyle w:val="TableContents"/>
              <w:bidi w:val="0"/>
              <w:spacing w:before="0" w:after="283"/>
              <w:jc w:val="both"/>
              <w:rPr/>
            </w:pPr>
            <w:r>
              <w:rPr/>
              <w:t>A copy of the register of directors and officers of the Company provided to us on 25 March 2026.</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 xml:space="preserve">A copy of the unanimous written resolutions of all the directors of the Company passed on 26 June 2026 (the </w:t>
            </w:r>
            <w:r>
              <w:rPr>
                <w:b/>
                <w:i/>
              </w:rPr>
              <w:t>Resolutions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 xml:space="preserve">A copy of the certificate issued by a director of the Company dated 26 June 2026, a copy of which is attached hereto (the </w:t>
            </w:r>
            <w:r>
              <w:rPr>
                <w:b/>
                <w:i/>
              </w:rPr>
              <w:t>Director’s Certificate</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503"/>
        <w:gridCol w:w="9566"/>
      </w:tblGrid>
      <w:tr>
        <w:trPr/>
        <w:tc>
          <w:tcPr>
            <w:tcW w:w="1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pPr>
            <w:r>
              <w:rPr/>
              <w:t>9</w:t>
            </w:r>
          </w:p>
        </w:tc>
        <w:tc>
          <w:tcPr>
            <w:tcW w:w="9566"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to 7 above are the </w:t>
      </w:r>
      <w:r>
        <w:rPr>
          <w:rFonts w:ascii="Times New Roman;Times;Serif" w:hAnsi="Times New Roman;Times;Serif"/>
          <w:b/>
          <w:i/>
          <w:caps w:val="false"/>
          <w:smallCaps w:val="false"/>
          <w:sz w:val="20"/>
        </w:rPr>
        <w:t>Corporate Documents</w:t>
      </w:r>
      <w:r>
        <w:rPr>
          <w:rFonts w:ascii="Times New Roman;Times;Serif" w:hAnsi="Times New Roman;Times;Serif"/>
          <w:b w:val="false"/>
          <w:i w:val="false"/>
          <w:caps w:val="false"/>
          <w:smallCaps w:val="false"/>
          <w:sz w:val="20"/>
        </w:rPr>
        <w:t xml:space="preserve">, and 1 to 9 above are the </w:t>
      </w:r>
      <w:r>
        <w:rPr>
          <w:rFonts w:ascii="Times New Roman;Times;Serif" w:hAnsi="Times New Roman;Times;Serif"/>
          <w:b/>
          <w:i/>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b/>
              </w:rPr>
              <w:t>Authenticity of Documents.</w:t>
            </w:r>
            <w:r>
              <w:rPr/>
              <w:t xml:space="preserve"> Copy documents or drafts of documents provided to us are true and complete copies of, or in the final forms of, the originals. All original Documents are authentic, all signatures, initials and seals are genuine.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b/>
              </w:rPr>
              <w:t>Corporate Documents.</w:t>
            </w:r>
            <w:r>
              <w:rPr/>
              <w:t xml:space="preserve"> All matters required by law to be recorded in the Corporate Documents are so recorded, and all corporate minutes, resolutions, certificates, documents and records which we have reviewed are accurate and complete, and all facts expressed in or implied thereby are accurate and complete as at the date of the passing of the Resolutions.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b/>
              </w:rPr>
              <w:t>Director’s Certificate</w:t>
            </w:r>
            <w:r>
              <w:rPr/>
              <w:t>. The contents of the Director’s Certificate are true and accurate as at the date of this opinion and there is no information not contained in the Director’s Certificate that will in any way affect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b/>
              </w:rPr>
              <w:t>No Steps to Wind-up</w:t>
            </w:r>
            <w:r>
              <w:rPr/>
              <w:t>. The directors and shareholders of the Company have not taken any steps to have the Company struck off or placed in liquidation, no steps have been taken to wind up the Company and no receiver has been appointed over any of the property or assets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b/>
              </w:rPr>
              <w:t>Resolutions.</w:t>
            </w:r>
            <w:r>
              <w:rPr/>
              <w:t xml:space="preserve"> The Resolutions have been duly executed by the directors, and the signatures and initials thereon are those of a person or persons in whose name the Resolutions have been expressed to be signed. The Resolutions remain in full force and effect.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b/>
              </w:rPr>
              <w:t>Unseen Documents.</w:t>
            </w:r>
            <w:r>
              <w:rPr/>
              <w:t xml:space="preserve"> Save for the Documents provided to us there are no resolutions, agreements, documents or arrangements which materially affect, amend or vary the transactions envisaged in the Documents and, in particular, that the entry into and performance of the transactions contemplated under the Registration Statement will not cause any of the parties thereto to be in breach of any agreement or undertaking.</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b/>
              </w:rPr>
              <w:t xml:space="preserve">Constitutional Documents. </w:t>
            </w:r>
            <w:r>
              <w:rPr/>
              <w:t>The M&amp;A is the latest memorandum and articles of association of the Company in effect as of the time of the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b/>
              </w:rPr>
              <w:t>Solvency.</w:t>
            </w:r>
            <w:r>
              <w:rPr/>
              <w:t xml:space="preserve"> The Company was on the date of this opinion able to pay its debts as they became due, and issuing the Securities as contemplated by the Registration Statement will not cause the Company to become unable to pay its debts as they fall due.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8" w:type="dxa"/>
            <w:tcBorders/>
            <w:vAlign w:val="center"/>
          </w:tcPr>
          <w:p>
            <w:pPr>
              <w:pStyle w:val="TableContents"/>
              <w:bidi w:val="0"/>
              <w:spacing w:before="0" w:after="283"/>
              <w:jc w:val="both"/>
              <w:rPr/>
            </w:pPr>
            <w:r>
              <w:rPr>
                <w:b/>
              </w:rPr>
              <w:t>Shares.</w:t>
            </w:r>
            <w:r>
              <w:rPr/>
              <w:t xml:space="preserve"> No shares will be issued for a price which is lower than its par value, and the Company will have sufficient authorised but unissued share capital to issue each share.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b/>
              </w:rPr>
              <w:t>Foreign Statutes.</w:t>
            </w:r>
            <w:r>
              <w:rPr/>
              <w:t xml:space="preserve"> We express no opinion in relation to provisions making reference to foreign statutes in the Registration Statement.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b/>
              </w:rPr>
              <w:t xml:space="preserve">Commercial Terms. </w:t>
            </w:r>
            <w:r>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b/>
              </w:rPr>
              <w:t xml:space="preserve">Meaning of Non-Assessable. </w:t>
            </w:r>
            <w:r>
              <w:rPr/>
              <w:t xml:space="preserve">In this opinion the phrase </w:t>
            </w:r>
            <w:r>
              <w:rPr>
                <w:b/>
                <w:i/>
              </w:rPr>
              <w:t>non-assessable</w:t>
            </w:r>
            <w:r>
              <w:rPr/>
              <w:t xml:space="preserve"> means, with respect to the issuance of Shares, that a shareholder shall not, in respect of the relevant shares,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b/>
              </w:rPr>
              <w:t>Good Standing.</w:t>
            </w:r>
            <w:r>
              <w:rPr/>
              <w:t xml:space="preserve"> The Company shall be deemed to be in good standing at any time if all fees (including annual filing fees) and penalties under the Companies Act have been paid and the Registrar of Companies has no knowledge that the Company is in default under the Companies Act (Revised)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b/>
              </w:rPr>
              <w:t>Economic Substance.</w:t>
            </w:r>
            <w:r>
              <w:rPr/>
              <w:t xml:space="preserve"> We have undertaken no enquiry and express no view as to the compliance of the Company with the International Tax Co-operation (Economic Substance) Act (Revised).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37" w:name="ea029605601ex23-1.htm"/>
      <w:bookmarkStart w:id="38" w:name="ksea029605601ex231"/>
      <w:bookmarkEnd w:id="37"/>
      <w:bookmarkEnd w:id="38"/>
      <w:r>
        <w:rPr>
          <w:rFonts w:ascii="Times New Roman;Times;Serif" w:hAnsi="Times New Roman;Times;Serif"/>
          <w:b/>
          <w:sz w:val="20"/>
        </w:rPr>
        <w:t>Exhibit 23.1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F-3 of our report dated April 30, 2026, with respect to the consolidated financial statements of SAIHEAT Limited and its subsidiaries, appearing in its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Assentsure PAC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p>
      <w:pPr>
        <w:pStyle w:val="TextBody"/>
        <w:bidi w:val="0"/>
        <w:jc w:val="right"/>
        <w:rPr>
          <w:rFonts w:ascii="Times New Roman;Times;Serif" w:hAnsi="Times New Roman;Times;Serif"/>
          <w:b/>
          <w:sz w:val="20"/>
        </w:rPr>
      </w:pPr>
      <w:bookmarkStart w:id="39" w:name="ea029605601ex23-2.htm"/>
      <w:bookmarkStart w:id="40" w:name="ksea029605601ex232"/>
      <w:bookmarkEnd w:id="39"/>
      <w:bookmarkEnd w:id="40"/>
      <w:r>
        <w:rPr>
          <w:rFonts w:ascii="Times New Roman;Times;Serif" w:hAnsi="Times New Roman;Times;Serif"/>
          <w:b/>
          <w:sz w:val="20"/>
        </w:rPr>
        <w:t>Exhibit 23.2</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F-3 of our report dated April 28, 2025, with respect to the consolidated financial statements of SAIHEAT Limited and its subsidiaries, appearing in its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Audit Alliance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p>
      <w:pPr>
        <w:pStyle w:val="TextBody"/>
        <w:bidi w:val="0"/>
        <w:spacing w:before="0" w:after="240"/>
        <w:ind w:left="0" w:right="0" w:hanging="0"/>
        <w:jc w:val="right"/>
        <w:rPr>
          <w:rFonts w:ascii="Times New Roman;Times;Serif" w:hAnsi="Times New Roman;Times;Serif"/>
          <w:b/>
          <w:i w:val="false"/>
          <w:caps w:val="false"/>
          <w:smallCaps w:val="false"/>
          <w:sz w:val="24"/>
        </w:rPr>
      </w:pPr>
      <w:bookmarkStart w:id="41" w:name="ea029605601ex-fee.htm"/>
      <w:bookmarkStart w:id="42" w:name="ksea029605601exfee"/>
      <w:bookmarkEnd w:id="41"/>
      <w:bookmarkEnd w:id="42"/>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SAIHEAT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4875" w:type="dxa"/>
        <w:jc w:val="left"/>
        <w:tblInd w:w="0" w:type="dxa"/>
        <w:tblLayout w:type="fixed"/>
        <w:tblCellMar>
          <w:top w:w="0" w:type="dxa"/>
          <w:left w:w="0" w:type="dxa"/>
          <w:bottom w:w="0" w:type="dxa"/>
          <w:right w:w="0" w:type="dxa"/>
        </w:tblCellMar>
      </w:tblPr>
      <w:tblGrid>
        <w:gridCol w:w="950"/>
        <w:gridCol w:w="60"/>
        <w:gridCol w:w="1160"/>
        <w:gridCol w:w="60"/>
        <w:gridCol w:w="1205"/>
        <w:gridCol w:w="60"/>
        <w:gridCol w:w="575"/>
        <w:gridCol w:w="60"/>
        <w:gridCol w:w="1100"/>
        <w:gridCol w:w="60"/>
        <w:gridCol w:w="1025"/>
        <w:gridCol w:w="60"/>
        <w:gridCol w:w="696"/>
        <w:gridCol w:w="299"/>
        <w:gridCol w:w="60"/>
        <w:gridCol w:w="140"/>
        <w:gridCol w:w="1520"/>
        <w:gridCol w:w="60"/>
        <w:gridCol w:w="455"/>
        <w:gridCol w:w="60"/>
        <w:gridCol w:w="140"/>
        <w:gridCol w:w="1160"/>
        <w:gridCol w:w="60"/>
        <w:gridCol w:w="830"/>
        <w:gridCol w:w="60"/>
        <w:gridCol w:w="830"/>
        <w:gridCol w:w="60"/>
        <w:gridCol w:w="875"/>
        <w:gridCol w:w="60"/>
        <w:gridCol w:w="140"/>
        <w:gridCol w:w="995"/>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95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or Carry Forward 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Amount of Registration Fee</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left"/>
              <w:rPr/>
            </w:pPr>
            <w:r>
              <w:rPr/>
              <w:t>Carry Forward Form Type</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left"/>
              <w:rPr/>
            </w:pPr>
            <w:r>
              <w:rPr/>
              <w:t>Carry Forward File Number</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left"/>
              <w:rPr/>
            </w:pPr>
            <w:r>
              <w:rPr/>
              <w:t>Carry Forward Initial Effective Date</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left"/>
              <w:rPr/>
            </w:pPr>
            <w:r>
              <w:rPr/>
              <w:t>Filing Fee Previously Paid in Connection with</w:t>
              <w:br/>
              <w:t>Unsold Securities</w:t>
              <w:br/>
              <w:t>to be</w:t>
              <w:br/>
              <w:t>Carried Forward</w:t>
            </w:r>
          </w:p>
        </w:tc>
      </w:tr>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14875" w:type="dxa"/>
            <w:gridSpan w:val="31"/>
            <w:tcBorders/>
            <w:vAlign w:val="center"/>
          </w:tcPr>
          <w:p>
            <w:pPr>
              <w:pStyle w:val="TableContents"/>
              <w:bidi w:val="0"/>
              <w:spacing w:before="0" w:after="283"/>
              <w:jc w:val="center"/>
              <w:rPr>
                <w:i/>
              </w:rPr>
            </w:pPr>
            <w:r>
              <w:rPr>
                <w:i/>
              </w:rPr>
              <w:t>Newly Registered Securities</w:t>
            </w:r>
          </w:p>
        </w:tc>
      </w:tr>
      <w:tr>
        <w:trPr/>
        <w:tc>
          <w:tcPr>
            <w:tcW w:w="95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Class A ordinary shares, par value US$0.0015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Subscription 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(4)</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(5)</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14875" w:type="dxa"/>
            <w:gridSpan w:val="31"/>
            <w:tcBorders/>
            <w:vAlign w:val="center"/>
          </w:tcPr>
          <w:p>
            <w:pPr>
              <w:pStyle w:val="TableContents"/>
              <w:bidi w:val="0"/>
              <w:spacing w:before="0" w:after="283"/>
              <w:jc w:val="center"/>
              <w:rPr>
                <w:i/>
              </w:rPr>
            </w:pPr>
            <w:r>
              <w:rPr>
                <w:i/>
              </w:rPr>
              <w:t>Carry Forward Securities</w:t>
            </w:r>
          </w:p>
        </w:tc>
      </w:tr>
      <w:tr>
        <w:trPr/>
        <w:tc>
          <w:tcPr>
            <w:tcW w:w="95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Ordinary Shares, par value US$0.0001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F-3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333-272916</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08/17/2023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F-3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333-272916</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08/17/2023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F-3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333-272916</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08/17/2023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F-3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333-272916</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08/17/2023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F-3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333-272916</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08/17/2023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 </w:t>
            </w:r>
          </w:p>
        </w:tc>
      </w:tr>
      <w:tr>
        <w:trPr/>
        <w:tc>
          <w:tcPr>
            <w:tcW w:w="950" w:type="dxa"/>
            <w:tcBorders/>
            <w:vAlign w:val="center"/>
          </w:tcPr>
          <w:p>
            <w:pPr>
              <w:pStyle w:val="TableContents"/>
              <w:bidi w:val="0"/>
              <w:spacing w:before="0" w:after="283"/>
              <w:jc w:val="left"/>
              <w:rPr/>
            </w:pPr>
            <w:r>
              <w:rPr/>
              <w:t>Carry Forward Securities</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r>
              <w:rPr/>
              <w:t>(7)</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415(a)(6)</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300,000,000.00</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F-3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333-272916</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08/17/2023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5" w:type="dxa"/>
            <w:tcBorders/>
            <w:vAlign w:val="center"/>
          </w:tcPr>
          <w:p>
            <w:pPr>
              <w:pStyle w:val="TableContents"/>
              <w:bidi w:val="0"/>
              <w:spacing w:before="0" w:after="283"/>
              <w:jc w:val="right"/>
              <w:rPr/>
            </w:pPr>
            <w:r>
              <w:rPr/>
              <w:t>33,060.00</w:t>
            </w:r>
          </w:p>
        </w:tc>
      </w:tr>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top w:val="single" w:sz="8" w:space="0" w:color="000000"/>
            </w:tcBorders>
            <w:tcMar>
              <w:top w:w="28" w:type="dxa"/>
            </w:tcMar>
            <w:vAlign w:val="center"/>
          </w:tcPr>
          <w:p>
            <w:pPr>
              <w:pStyle w:val="TableContents"/>
              <w:bidi w:val="0"/>
              <w:spacing w:before="0" w:after="283"/>
              <w:jc w:val="left"/>
              <w:rPr/>
            </w:pPr>
            <w:r>
              <w:rPr/>
              <w:t> </w:t>
            </w:r>
          </w:p>
        </w:tc>
        <w:tc>
          <w:tcPr>
            <w:tcW w:w="152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top w:val="single" w:sz="8" w:space="0" w:color="000000"/>
            </w:tcBorders>
            <w:tcMar>
              <w:top w:w="28" w:type="dxa"/>
            </w:tcMar>
            <w:vAlign w:val="center"/>
          </w:tcPr>
          <w:p>
            <w:pPr>
              <w:pStyle w:val="TableContents"/>
              <w:bidi w:val="0"/>
              <w:spacing w:before="0" w:after="283"/>
              <w:jc w:val="left"/>
              <w:rPr/>
            </w:pPr>
            <w:r>
              <w:rPr/>
              <w:t> </w:t>
            </w:r>
          </w:p>
        </w:tc>
        <w:tc>
          <w:tcPr>
            <w:tcW w:w="116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737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300,000,000.00</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737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737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r>
        <w:trPr/>
        <w:tc>
          <w:tcPr>
            <w:tcW w:w="737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before="0" w:after="283"/>
              <w:jc w:val="left"/>
              <w:rPr/>
            </w:pPr>
            <w:r>
              <w:rPr/>
              <w:t>$</w:t>
            </w:r>
          </w:p>
        </w:tc>
        <w:tc>
          <w:tcPr>
            <w:tcW w:w="1160" w:type="dxa"/>
            <w:tcBorders>
              <w:bottom w:val="double" w:sz="8" w:space="0" w:color="000000"/>
            </w:tcBorders>
            <w:tcMar>
              <w:bottom w:w="28" w:type="dxa"/>
            </w:tcMar>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This replacement registration statement is filed pursuant to Rule 415(a)(6) under the Securities Act of 1933, as amended, or the Securities Act, and includes solely such indeterminate number of the registrant’s Class A ordinary shares, par value 0.0015 per share, in the form of debt, warrants, subscription rights, units or any combination thereof from time to time at indeterminate prices, with an initial aggregate public offering price of all of such securities not to exceed US$300,000,000, which were previously registered by the registrant on the expiring registration statement on Form F-3 (File No. 333-272916) initially filed on June 26, 2023, and declared effective on August 17, 2023, or 2023 F-3, and were not sold thereunder. In addition, pursuant to Rule 416(a) under the Securities Act, this registration statement shall be deemed to cover any additional number of common shares that may be issued from time to time to prevent dilution as a result of a distribution, split, combination or similar transaction. Securities registered hereunder may be sold separately, or together with other securities registered hereunder.</w:t>
              <w:br/>
              <w:br/>
              <w:t>The registration fee has been calculated pursuant to Rule 457(o) under the Securities Act of 1933, as amended, which permits the registration fee to be calculated on the basis of the maximum offering price of all of the securities to be offered.</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This replacement registration statement is filed pursuant to Rule 415(a)(6) under the Securities Act of 1933, as amended, or the Securities Act, and includes solely such indeterminate number of the registrant’s Class A ordinary shares, par value 0.0015 per share, in the form of debt, warrants, subscription rights, units or any combination thereof from time to time at indeterminate prices, with an initial aggregate public offering price of all of such securities not to exceed US$300,000,000, which were previously registered by the registrant on the expiring registration statement on Form F-3 (File No. 333-272916) initially filed on June 26, 2023, and declared effective on August 17, 2023, or 2023 F-3, and were not sold thereunder. In addition, pursuant to Rule 416(a) under the Securities Act, this registration statement shall be deemed to cover any additional number of common shares that may be issued from time to time to prevent dilution as a result of a distribution, split, combination or similar transaction. Securities registered hereunder may be sold separately, or together with other securities registered hereunder.</w:t>
              <w:br/>
              <w:br/>
              <w:t>The registration fee has been calculated pursuant to Rule 457(o) under the Securities Act of 1933, as amended, which permits the registration fee to be calculated on the basis of the maximum offering price of all of the securities to be offered.</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This replacement registration statement is filed pursuant to Rule 415(a)(6) under the Securities Act of 1933, as amended, or the Securities Act, and includes solely such indeterminate number of the registrant’s Class A ordinary shares, par value 0.0015 per share, in the form of debt, warrants, subscription rights, units or any combination thereof from time to time at indeterminate prices, with an initial aggregate public offering price of all of such securities not to exceed US$300,000,000, which were previously registered by the registrant on the expiring registration statement on Form F-3 (File No. 333-272916) initially filed on June 26, 2023, and declared effective on August 17, 2023, or 2023 F-3, and were not sold thereunder. In addition, pursuant to Rule 416(a) under the Securities Act, this registration statement shall be deemed to cover any additional number of common shares that may be issued from time to time to prevent dilution as a result of a distribution, split, combination or similar transaction. Securities registered hereunder may be sold separately, or together with other securities registered hereunder.</w:t>
              <w:br/>
              <w:br/>
              <w:t>The registration fee has been calculated pursuant to Rule 457(o) under the Securities Act of 1933, as amended, which permits the registration fee to be calculated on the basis of the maximum offering price of all of the securities to be offered.</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This replacement registration statement is filed pursuant to Rule 415(a)(6) under the Securities Act of 1933, as amended, or the Securities Act, and includes solely such indeterminate number of the registrant’s Class A ordinary shares, par value 0.0015 per share, in the form of debt, warrants, subscription rights, units or any combination thereof from time to time at indeterminate prices, with an initial aggregate public offering price of all of such securities not to exceed US$300,000,000, which were previously registered by the registrant on the expiring registration statement on Form F-3 (File No. 333-272916) initially filed on June 26, 2023, and declared effective on August 17, 2023, or 2023 F-3, and were not sold thereunder. In addition, pursuant to Rule 416(a) under the Securities Act, this registration statement shall be deemed to cover any additional number of common shares that may be issued from time to time to prevent dilution as a result of a distribution, split, combination or similar transaction. Securities registered hereunder may be sold separately, or together with other securities registered hereunder.</w:t>
              <w:br/>
              <w:br/>
              <w:t>The registration fee has been calculated pursuant to Rule 457(o) under the Securities Act of 1933, as amended, which permits the registration fee to be calculated on the basis of the maximum offering price of all of the securities to be offered.</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This replacement registration statement is filed pursuant to Rule 415(a)(6) under the Securities Act of 1933, as amended, or the Securities Act, and includes solely such indeterminate number of the registrant’s Class A ordinary shares, par value 0.0015 per share, in the form of debt, warrants, subscription rights, units or any combination thereof from time to time at indeterminate prices, with an initial aggregate public offering price of all of such securities not to exceed US$300,000,000, which were previously registered by the registrant on the expiring registration statement on Form F-3 (File No. 333-272916) initially filed on June 26, 2023, and declared effective on August 17, 2023, or 2023 F-3, and were not sold thereunder. In addition, pursuant to Rule 416(a) under the Securities Act, this registration statement shall be deemed to cover any additional number of common shares that may be issued from time to time to prevent dilution as a result of a distribution, split, combination or similar transaction. Securities registered hereunder may be sold separately, or together with other securities registered hereunder.</w:t>
              <w:br/>
              <w:br/>
              <w:t>The registration fee has been calculated pursuant to Rule 457(o) under the Securities Act of 1933, as amended, which permits the registration fee to be calculated on the basis of the maximum offering price of all of the securities to be offered.</w:t>
            </w:r>
          </w:p>
        </w:tc>
      </w:tr>
    </w:tbl>
    <w:tbl>
      <w:tblPr>
        <w:tblW w:w="10205" w:type="dxa"/>
        <w:jc w:val="left"/>
        <w:tblInd w:w="0" w:type="dxa"/>
        <w:tblLayout w:type="fixed"/>
        <w:tblCellMar>
          <w:top w:w="0" w:type="dxa"/>
          <w:left w:w="0" w:type="dxa"/>
          <w:bottom w:w="0" w:type="dxa"/>
          <w:right w:w="0" w:type="dxa"/>
        </w:tblCellMar>
      </w:tblPr>
      <w:tblGrid>
        <w:gridCol w:w="270"/>
        <w:gridCol w:w="23"/>
        <w:gridCol w:w="9912"/>
      </w:tblGrid>
      <w:tr>
        <w:trPr/>
        <w:tc>
          <w:tcPr>
            <w:tcW w:w="270"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9912" w:type="dxa"/>
            <w:tcBorders/>
            <w:vAlign w:val="center"/>
          </w:tcPr>
          <w:p>
            <w:pPr>
              <w:pStyle w:val="TableContents"/>
              <w:bidi w:val="0"/>
              <w:spacing w:before="0" w:after="283"/>
              <w:jc w:val="both"/>
              <w:rPr/>
            </w:pPr>
            <w:r>
              <w:rPr/>
              <w:t>The registration fee has been calculated pursuant to Rule 457(o) under the Securities Act of 1933, as amended, the statutory rate of $0.00011020 in effect at the time of filing 2023 F-3.</w:t>
            </w:r>
          </w:p>
        </w:tc>
      </w:tr>
    </w:tbl>
    <w:tbl>
      <w:tblPr>
        <w:tblW w:w="10205" w:type="dxa"/>
        <w:jc w:val="left"/>
        <w:tblInd w:w="0" w:type="dxa"/>
        <w:tblLayout w:type="fixed"/>
        <w:tblCellMar>
          <w:top w:w="0" w:type="dxa"/>
          <w:left w:w="0" w:type="dxa"/>
          <w:bottom w:w="0" w:type="dxa"/>
          <w:right w:w="0" w:type="dxa"/>
        </w:tblCellMar>
      </w:tblPr>
      <w:tblGrid>
        <w:gridCol w:w="236"/>
        <w:gridCol w:w="23"/>
        <w:gridCol w:w="9946"/>
      </w:tblGrid>
      <w:tr>
        <w:trPr/>
        <w:tc>
          <w:tcPr>
            <w:tcW w:w="236" w:type="dxa"/>
            <w:tcBorders/>
            <w:vAlign w:val="center"/>
          </w:tcPr>
          <w:p>
            <w:pPr>
              <w:pStyle w:val="TableContents"/>
              <w:bidi w:val="0"/>
              <w:spacing w:before="0" w:after="283"/>
              <w:jc w:val="right"/>
              <w:rPr/>
            </w:pPr>
            <w:r>
              <w:rPr/>
              <w:t>(7)</w:t>
            </w:r>
          </w:p>
        </w:tc>
        <w:tc>
          <w:tcPr>
            <w:tcW w:w="23" w:type="dxa"/>
            <w:tcBorders/>
            <w:vAlign w:val="center"/>
          </w:tcPr>
          <w:p>
            <w:pPr>
              <w:pStyle w:val="TableContents"/>
              <w:bidi w:val="0"/>
              <w:spacing w:before="0" w:after="283"/>
              <w:jc w:val="left"/>
              <w:rPr>
                <w:sz w:val="4"/>
                <w:szCs w:val="4"/>
              </w:rPr>
            </w:pPr>
            <w:r>
              <w:rPr>
                <w:sz w:val="4"/>
                <w:szCs w:val="4"/>
              </w:rPr>
            </w:r>
          </w:p>
        </w:tc>
        <w:tc>
          <w:tcPr>
            <w:tcW w:w="9946" w:type="dxa"/>
            <w:tcBorders/>
            <w:vAlign w:val="center"/>
          </w:tcPr>
          <w:p>
            <w:pPr>
              <w:pStyle w:val="TableContents"/>
              <w:bidi w:val="0"/>
              <w:spacing w:before="0" w:after="283"/>
              <w:jc w:val="both"/>
              <w:rPr/>
            </w:pPr>
            <w:r>
              <w:rPr/>
              <w:t>Pursuant to Rule 415(a)(6) under the Securities Act, the securities registered pursuant to this registration statement include $300,000,000 of unsold securities that were previously registered on the 2023 F-3. The registrant carried forward the previously paid filing fee of $33,060 for $300,000,000 of unsold securities that had been previously registered on the 2023 F-3, which fee will continue to be applied to such unsold securities included in this registration statement. Pursuant to Rule 415(a)(6), the offering of the unsold securities registered under the Prior Registration Statement will be deemed terminated as of the effective date of this registration statement. If the registrant sells any of such unsold securities pursuant to the 2023 F-3 after the date of filing, and prior to the date of effectiveness, of this registration statement, the registrant will file a pre-effective amendment to this registration statement which will reduce the number of such unsold securities included on this registration statement.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7075/000121390023051503/ea180384-f3_saitech.htm" TargetMode="External"/><Relationship Id="rId3" Type="http://schemas.openxmlformats.org/officeDocument/2006/relationships/image" Target="media/image1.jpeg"/><Relationship Id="rId4" Type="http://schemas.openxmlformats.org/officeDocument/2006/relationships/hyperlink" Target="http://www.sec.gov/ix?doc=/Archives/edgar/data/0001847075/000121390026050380/ea0286826-20f_saiheat.htm" TargetMode="External"/><Relationship Id="rId5" Type="http://schemas.openxmlformats.org/officeDocument/2006/relationships/hyperlink" Target="http://www.sec.gov/Archives/edgar/data/1847075/000121390026065886/ea0292295-6k_saiheat.htm" TargetMode="External"/><Relationship Id="rId6" Type="http://schemas.openxmlformats.org/officeDocument/2006/relationships/hyperlink" Target="http://www.sec.gov/Archives/edgar/data/1847075/000121390026048198/ea0287824-6k_saiheat.htm" TargetMode="External"/><Relationship Id="rId7" Type="http://schemas.openxmlformats.org/officeDocument/2006/relationships/hyperlink" Target="http://www.sec.gov/Archives/edgar/data/1847075/000121390026040175/ea0285154-6k_saiheat.htm" TargetMode="External"/><Relationship Id="rId8" Type="http://schemas.openxmlformats.org/officeDocument/2006/relationships/hyperlink" Target="http://www.sec.gov/Archives/edgar/data/1847075/000121390026036613/ea0283938-6k_saiheat.htm" TargetMode="External"/><Relationship Id="rId9" Type="http://schemas.openxmlformats.org/officeDocument/2006/relationships/hyperlink" Target="http://www.sec.gov/Archives/edgar/data/1847075/000121390026048198/ea028782401ex3-2.htm" TargetMode="External"/><Relationship Id="rId10" Type="http://schemas.openxmlformats.org/officeDocument/2006/relationships/hyperlink" Target="http://www.sec.gov/Archives/edgar/data/1847075/000110465921062221/tm2115349d1_ex4-1.htm" TargetMode="External"/><Relationship Id="rId11" Type="http://schemas.openxmlformats.org/officeDocument/2006/relationships/hyperlink" Target="http://www.sec.gov/Archives/edgar/data/1847075/000110465921062221/tm2115349d1_ex4-1.htm" TargetMode="External"/><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54382</Words>
  <Characters>277410</Characters>
  <CharactersWithSpaces>331975</CharactersWithSpaces>
  <Paragraphs>3414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