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3477-6k_saiheat.htm"/>
      <w:bookmarkStart w:id="1" w:name="ksea03034776k_saiheat"/>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001-40368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SAIHEAT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#266A South Bridge Road, #02-01 Singapore (058815)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 Limited (the “Company”) announced that all the shareholder proposals submitted for shareholders’ approval have been duly adopted at its extraordinary general meeting of shareholders held virtually at http://www.virtualshareholdermeeting.com/SAIH2026SM on August 26, 2026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submits this report on Form 6-K to furnish, among others, (i) the fifth amended and restated memorandum and articles of association of the Company as set forth in Exhibit 3.1 hereto, (ii) the sixth amended and restated memorandum and articles of association of the Company as set forth in Exhibit 3.2 hereto, and (iii) the voting results of the EGM as set forth in Exhibit 99.1 hereto. For more details, please refer to exhibits to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28" w:type="dxa"/>
          <w:right w:w="0" w:type="dxa"/>
        </w:tblCellMar>
      </w:tblPr>
      <w:tblGrid>
        <w:gridCol w:w="995"/>
        <w:gridCol w:w="60"/>
        <w:gridCol w:w="581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81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10" w:type="dxa"/>
            <w:tcBorders/>
            <w:shd w:fill="CCEEFF" w:val="clear"/>
            <w:tcMar>
              <w:bottom w:w="0" w:type="dxa"/>
            </w:tcMar>
            <w:vAlign w:val="center"/>
          </w:tcPr>
          <w:p>
            <w:pPr>
              <w:pStyle w:val="TableContents"/>
              <w:bidi w:val="0"/>
              <w:spacing w:before="0" w:after="283"/>
              <w:jc w:val="left"/>
              <w:rPr/>
            </w:pPr>
            <w:hyperlink w:anchor="ea030347701ex3-1.htm">
              <w:r>
                <w:rPr>
                  <w:rStyle w:val="InternetLink"/>
                  <w:rFonts w:ascii="Times New Roman;Times;Serif" w:hAnsi="Times New Roman;Times;Serif"/>
                  <w:sz w:val="20"/>
                </w:rPr>
                <w:t>Fifth Amended and Restated Memorandum and Articles of Association</w:t>
              </w:r>
            </w:hyperlink>
          </w:p>
        </w:tc>
      </w:tr>
      <w:tr>
        <w:trPr/>
        <w:tc>
          <w:tcPr>
            <w:tcW w:w="1055"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5810" w:type="dxa"/>
            <w:tcBorders/>
            <w:tcMar>
              <w:bottom w:w="0" w:type="dxa"/>
            </w:tcMar>
            <w:vAlign w:val="center"/>
          </w:tcPr>
          <w:p>
            <w:pPr>
              <w:pStyle w:val="TableContents"/>
              <w:bidi w:val="0"/>
              <w:spacing w:before="0" w:after="283"/>
              <w:jc w:val="left"/>
              <w:rPr/>
            </w:pPr>
            <w:hyperlink w:anchor="ea030347701ex3-2.htm">
              <w:r>
                <w:rPr>
                  <w:rStyle w:val="InternetLink"/>
                  <w:rFonts w:ascii="Times New Roman;Times;Serif" w:hAnsi="Times New Roman;Times;Serif"/>
                  <w:sz w:val="20"/>
                </w:rPr>
                <w:t>Sixth Amended and Restated Memorandum and Articles of Association</w:t>
              </w:r>
            </w:hyperlink>
          </w:p>
        </w:tc>
      </w:tr>
      <w:tr>
        <w:trPr/>
        <w:tc>
          <w:tcPr>
            <w:tcW w:w="1055" w:type="dxa"/>
            <w:gridSpan w:val="2"/>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5810" w:type="dxa"/>
            <w:tcBorders/>
            <w:shd w:fill="CCEEFF" w:val="clear"/>
            <w:tcMar>
              <w:bottom w:w="0" w:type="dxa"/>
            </w:tcMar>
            <w:vAlign w:val="center"/>
          </w:tcPr>
          <w:p>
            <w:pPr>
              <w:pStyle w:val="TableContents"/>
              <w:bidi w:val="0"/>
              <w:spacing w:before="0" w:after="283"/>
              <w:jc w:val="left"/>
              <w:rPr/>
            </w:pPr>
            <w:hyperlink w:anchor="ea030347701ex99-1.htm">
              <w:r>
                <w:rPr>
                  <w:rStyle w:val="InternetLink"/>
                  <w:rFonts w:ascii="Times New Roman;Times;Serif" w:hAnsi="Times New Roman;Times;Serif"/>
                  <w:sz w:val="20"/>
                </w:rPr>
                <w:t>Voting Results of Extraordinary General Meeting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365"/>
        <w:gridCol w:w="1955"/>
      </w:tblGrid>
      <w:tr>
        <w:trPr/>
        <w:tc>
          <w:tcPr>
            <w:tcW w:w="75"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SAIHEAT Limited</w:t>
            </w:r>
          </w:p>
        </w:tc>
      </w:tr>
      <w:tr>
        <w:trPr/>
        <w:tc>
          <w:tcPr>
            <w:tcW w:w="75"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Jianwei Li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Jianwei Li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2" w:name="ea030347701ex3-1.htm"/>
      <w:bookmarkStart w:id="3" w:name="ksea030347701ex31"/>
      <w:bookmarkEnd w:id="2"/>
      <w:bookmarkEnd w:id="3"/>
      <w:r>
        <w:rPr>
          <w:b/>
        </w:rPr>
        <w:t>Exhibit 3.1</w:t>
      </w:r>
      <w:r>
        <w:br w:type="page"/>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(Revised)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AND 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DATED 06 April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(Revised)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DATED 06 April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1</w:t>
            </w:r>
          </w:p>
        </w:tc>
        <w:tc>
          <w:tcPr>
            <w:tcW w:w="10065" w:type="dxa"/>
            <w:tcBorders/>
            <w:vAlign w:val="center"/>
          </w:tcPr>
          <w:p>
            <w:pPr>
              <w:pStyle w:val="TableContents"/>
              <w:bidi w:val="0"/>
              <w:spacing w:before="0" w:after="283"/>
              <w:jc w:val="both"/>
              <w:rPr>
                <w:sz w:val="20"/>
              </w:rPr>
            </w:pPr>
            <w:r>
              <w:rPr>
                <w:sz w:val="20"/>
              </w:rPr>
              <w:t>The name of the Company is </w:t>
            </w:r>
            <w:r>
              <w:rPr>
                <w:b/>
                <w:sz w:val="20"/>
              </w:rPr>
              <w:t>SAIHEAT Limited</w:t>
            </w:r>
            <w:r>
              <w:rPr>
                <w:sz w:val="20"/>
              </w:rPr>
              <w: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sz w:val="20"/>
              </w:rPr>
            </w:pPr>
            <w:r>
              <w:rPr>
                <w:sz w:val="20"/>
              </w:rPr>
              <w:t>2</w:t>
            </w:r>
          </w:p>
        </w:tc>
        <w:tc>
          <w:tcPr>
            <w:tcW w:w="10065" w:type="dxa"/>
            <w:tcBorders/>
            <w:vAlign w:val="center"/>
          </w:tcPr>
          <w:p>
            <w:pPr>
              <w:pStyle w:val="TableContents"/>
              <w:bidi w:val="0"/>
              <w:spacing w:before="0" w:after="283"/>
              <w:jc w:val="both"/>
              <w:rPr>
                <w:sz w:val="20"/>
              </w:rPr>
            </w:pPr>
            <w:r>
              <w:rPr>
                <w:sz w:val="20"/>
              </w:rPr>
              <w:t>The Registered Office of the Company shall be at the offices of BOLDER CORPORATE SERVICES (CAYMAN) LIMITED, 3-212 Governors Square, 23 Lime Tree Bay Avenue, P.O. Box 30746, Seven Mile Beach, Grand Cayman KY1-1203, Cayman Islands, or at such other place within the Cayman Islands as the Directors may decide.</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sz w:val="20"/>
              </w:rPr>
            </w:pPr>
            <w:r>
              <w:rPr>
                <w:sz w:val="20"/>
              </w:rPr>
              <w:t>3</w:t>
            </w:r>
          </w:p>
        </w:tc>
        <w:tc>
          <w:tcPr>
            <w:tcW w:w="10065" w:type="dxa"/>
            <w:tcBorders/>
            <w:vAlign w:val="center"/>
          </w:tcPr>
          <w:p>
            <w:pPr>
              <w:pStyle w:val="TableContents"/>
              <w:bidi w:val="0"/>
              <w:spacing w:before="0" w:after="283"/>
              <w:jc w:val="both"/>
              <w:rPr>
                <w:sz w:val="20"/>
              </w:rPr>
            </w:pPr>
            <w:r>
              <w:rPr>
                <w:sz w:val="20"/>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sz w:val="20"/>
              </w:rPr>
            </w:pPr>
            <w:r>
              <w:rPr>
                <w:sz w:val="20"/>
              </w:rPr>
              <w:t>4</w:t>
            </w:r>
          </w:p>
        </w:tc>
        <w:tc>
          <w:tcPr>
            <w:tcW w:w="10065" w:type="dxa"/>
            <w:tcBorders/>
            <w:vAlign w:val="center"/>
          </w:tcPr>
          <w:p>
            <w:pPr>
              <w:pStyle w:val="TableContents"/>
              <w:bidi w:val="0"/>
              <w:spacing w:before="0" w:after="283"/>
              <w:jc w:val="both"/>
              <w:rPr>
                <w:sz w:val="20"/>
              </w:rPr>
            </w:pPr>
            <w:r>
              <w:rPr>
                <w:sz w:val="20"/>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sz w:val="20"/>
              </w:rPr>
            </w:pPr>
            <w:r>
              <w:rPr>
                <w:sz w:val="20"/>
              </w:rPr>
              <w:t>5</w:t>
            </w:r>
          </w:p>
        </w:tc>
        <w:tc>
          <w:tcPr>
            <w:tcW w:w="10065" w:type="dxa"/>
            <w:tcBorders/>
            <w:vAlign w:val="center"/>
          </w:tcPr>
          <w:p>
            <w:pPr>
              <w:pStyle w:val="TableContents"/>
              <w:bidi w:val="0"/>
              <w:spacing w:before="0" w:after="283"/>
              <w:jc w:val="both"/>
              <w:rPr>
                <w:sz w:val="20"/>
              </w:rPr>
            </w:pPr>
            <w:r>
              <w:rPr>
                <w:sz w:val="20"/>
              </w:rPr>
              <w:t>The liability of each Member is limited to the amount unpaid on such Member’s shares.</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sz w:val="20"/>
              </w:rPr>
            </w:pPr>
            <w:r>
              <w:rPr>
                <w:sz w:val="20"/>
              </w:rPr>
              <w:t>6</w:t>
            </w:r>
          </w:p>
        </w:tc>
        <w:tc>
          <w:tcPr>
            <w:tcW w:w="10065" w:type="dxa"/>
            <w:tcBorders/>
            <w:vAlign w:val="center"/>
          </w:tcPr>
          <w:p>
            <w:pPr>
              <w:pStyle w:val="TableContents"/>
              <w:bidi w:val="0"/>
              <w:spacing w:before="0" w:after="283"/>
              <w:jc w:val="both"/>
              <w:rPr>
                <w:sz w:val="20"/>
              </w:rPr>
            </w:pPr>
            <w:r>
              <w:rPr>
                <w:sz w:val="20"/>
              </w:rPr>
              <w:t>The authorized share capital of the Company is US$35,000 divided into 22,024,624 class A ordinary shares of a par value of US$0.0015 each, 642,043 convertible class B ordinary shares of a par value of US$0.0015 each, and 666,666 preference shares of a par value of US$0.0015 each. Subject to the provisions of the Statue and the Articles, the Company has the power to redeem or purchase any of its shares and to increase or reduce the share capital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sz w:val="20"/>
              </w:rPr>
            </w:pPr>
            <w:r>
              <w:rPr>
                <w:sz w:val="20"/>
              </w:rPr>
              <w:t>7</w:t>
            </w:r>
          </w:p>
        </w:tc>
        <w:tc>
          <w:tcPr>
            <w:tcW w:w="10065" w:type="dxa"/>
            <w:tcBorders/>
            <w:vAlign w:val="center"/>
          </w:tcPr>
          <w:p>
            <w:pPr>
              <w:pStyle w:val="TableContents"/>
              <w:bidi w:val="0"/>
              <w:spacing w:before="0" w:after="283"/>
              <w:jc w:val="both"/>
              <w:rPr>
                <w:sz w:val="20"/>
              </w:rPr>
            </w:pPr>
            <w:r>
              <w:rPr>
                <w:sz w:val="20"/>
              </w:rPr>
              <w:t>The Company has power to register by way of continuation as a body corporate limited by shares under the laws of any jurisdiction outside the Cayman Islands and to be deregistered in the Cayman Islands.</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sz w:val="20"/>
              </w:rPr>
            </w:pPr>
            <w:r>
              <w:rPr>
                <w:sz w:val="20"/>
              </w:rPr>
              <w:t>8</w:t>
            </w:r>
          </w:p>
        </w:tc>
        <w:tc>
          <w:tcPr>
            <w:tcW w:w="10065" w:type="dxa"/>
            <w:tcBorders/>
            <w:vAlign w:val="center"/>
          </w:tcPr>
          <w:p>
            <w:pPr>
              <w:pStyle w:val="TableContents"/>
              <w:bidi w:val="0"/>
              <w:spacing w:before="0" w:after="283"/>
              <w:jc w:val="both"/>
              <w:rPr>
                <w:sz w:val="20"/>
              </w:rPr>
            </w:pPr>
            <w:r>
              <w:rPr>
                <w:sz w:val="20"/>
              </w:rPr>
              <w:t>Capitalised terms that are not defined in this Memorandum bear the respective meanings given to them in the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(Revised)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(ADOPTED BY SPECIAL RESOLUTION DATED 06 </w:t>
      </w:r>
      <w:r>
        <w:rPr>
          <w:rFonts w:ascii="Times New Roman;Times;Serif" w:hAnsi="Times New Roman;Times;Serif"/>
          <w:b w:val="false"/>
          <w:i w:val="false"/>
          <w:caps w:val="false"/>
          <w:smallCaps w:val="false"/>
          <w:sz w:val="20"/>
        </w:rPr>
        <w:t>April </w:t>
      </w:r>
      <w:r>
        <w:rPr>
          <w:rFonts w:ascii="Times New Roman;Times;Serif" w:hAnsi="Times New Roman;Times;Serif"/>
          <w:b/>
          <w:i w:val="false"/>
          <w:caps w:val="false"/>
          <w:smallCaps w:val="false"/>
          <w:sz w:val="20"/>
        </w:rPr>
        <w:t>202</w:t>
      </w:r>
      <w:r>
        <w:rPr>
          <w:rFonts w:ascii="Times New Roman;Times;Serif" w:hAnsi="Times New Roman;Times;Serif"/>
          <w:b w:val="false"/>
          <w:i w:val="false"/>
          <w:caps w:val="false"/>
          <w:smallCaps w:val="false"/>
          <w:sz w:val="20"/>
        </w:rPr>
        <w:t>6</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283"/>
              <w:jc w:val="left"/>
              <w:rPr>
                <w:b/>
                <w:sz w:val="20"/>
              </w:rPr>
            </w:pPr>
            <w:r>
              <w:rPr>
                <w:b/>
                <w:sz w:val="20"/>
              </w:rPr>
              <w:t>1</w:t>
            </w:r>
          </w:p>
        </w:tc>
        <w:tc>
          <w:tcPr>
            <w:tcW w:w="1235" w:type="dxa"/>
            <w:tcBorders/>
            <w:vAlign w:val="center"/>
          </w:tcPr>
          <w:p>
            <w:pPr>
              <w:pStyle w:val="TableContents"/>
              <w:bidi w:val="0"/>
              <w:spacing w:before="0" w:after="283"/>
              <w:jc w:val="left"/>
              <w:rPr>
                <w:b/>
                <w:sz w:val="20"/>
              </w:rPr>
            </w:pPr>
            <w:r>
              <w:rPr>
                <w:b/>
                <w:sz w:val="20"/>
              </w:rPr>
              <w:t>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sz w:val="20"/>
              </w:rPr>
            </w:pPr>
            <w:r>
              <w:rPr>
                <w:sz w:val="20"/>
              </w:rPr>
              <w:t>In the Articles Table A in the First Schedule to the Statute does not apply and, unless there is something in the subject or context inconsistent therewith, the following words shall have the following meaning: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13"/>
        <w:gridCol w:w="8917"/>
      </w:tblGrid>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w:t>
            </w:r>
            <w:r>
              <w:rPr>
                <w:b/>
              </w:rPr>
              <w:t>Affiliate”</w:t>
            </w:r>
          </w:p>
        </w:tc>
        <w:tc>
          <w:tcPr>
            <w:tcW w:w="8917" w:type="dxa"/>
            <w:tcBorders/>
            <w:vAlign w:val="center"/>
          </w:tcPr>
          <w:p>
            <w:pPr>
              <w:pStyle w:val="TableContents"/>
              <w:bidi w:val="0"/>
              <w:spacing w:before="0" w:after="283"/>
              <w:jc w:val="both"/>
              <w:rPr/>
            </w:pPr>
            <w:r>
              <w:rPr/>
              <w:t>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w:t>
            </w:r>
            <w:r>
              <w:rPr>
                <w:b/>
              </w:rPr>
              <w:t>Applicable Law”</w:t>
            </w:r>
          </w:p>
        </w:tc>
        <w:tc>
          <w:tcPr>
            <w:tcW w:w="8917" w:type="dxa"/>
            <w:tcBorders/>
            <w:vAlign w:val="center"/>
          </w:tcPr>
          <w:p>
            <w:pPr>
              <w:pStyle w:val="TableContents"/>
              <w:bidi w:val="0"/>
              <w:spacing w:before="0" w:after="283"/>
              <w:jc w:val="both"/>
              <w:rPr/>
            </w:pPr>
            <w:r>
              <w:rPr/>
              <w:t>means, with respect to any Person, all provisions of laws, statutes, ordinances, rules, regulations, permits, certificates, judgments, decisions, decrees or orders of any governmental authority applicable to such Person.</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w:t>
            </w:r>
            <w:r>
              <w:rPr>
                <w:b/>
              </w:rPr>
              <w:t>Articles”</w:t>
            </w:r>
          </w:p>
        </w:tc>
        <w:tc>
          <w:tcPr>
            <w:tcW w:w="8917" w:type="dxa"/>
            <w:tcBorders/>
            <w:vAlign w:val="center"/>
          </w:tcPr>
          <w:p>
            <w:pPr>
              <w:pStyle w:val="TableContents"/>
              <w:bidi w:val="0"/>
              <w:spacing w:before="0" w:after="283"/>
              <w:jc w:val="both"/>
              <w:rPr/>
            </w:pPr>
            <w:r>
              <w:rPr/>
              <w:t>means these articles of association of the Company, as amended, supplemented and/or restated from time to time.</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w:t>
            </w:r>
            <w:r>
              <w:rPr>
                <w:b/>
              </w:rPr>
              <w:t>Audit Committee”</w:t>
            </w:r>
          </w:p>
        </w:tc>
        <w:tc>
          <w:tcPr>
            <w:tcW w:w="8917" w:type="dxa"/>
            <w:tcBorders/>
            <w:vAlign w:val="center"/>
          </w:tcPr>
          <w:p>
            <w:pPr>
              <w:pStyle w:val="TableContents"/>
              <w:bidi w:val="0"/>
              <w:spacing w:before="0" w:after="283"/>
              <w:jc w:val="both"/>
              <w:rPr/>
            </w:pPr>
            <w:r>
              <w:rPr/>
              <w:t>means the audit committee of the board of directors of the Company established pursuant to the Articles, or any successor committee.</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w:t>
            </w:r>
            <w:r>
              <w:rPr>
                <w:b/>
              </w:rPr>
              <w:t>Auditor”</w:t>
            </w:r>
          </w:p>
        </w:tc>
        <w:tc>
          <w:tcPr>
            <w:tcW w:w="8917" w:type="dxa"/>
            <w:tcBorders/>
            <w:vAlign w:val="center"/>
          </w:tcPr>
          <w:p>
            <w:pPr>
              <w:pStyle w:val="TableContents"/>
              <w:bidi w:val="0"/>
              <w:spacing w:before="0" w:after="283"/>
              <w:jc w:val="both"/>
              <w:rPr/>
            </w:pPr>
            <w:r>
              <w:rPr/>
              <w:t>means the Person for the time being performing the duties of auditor of the Company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7"/>
        <w:gridCol w:w="8033"/>
      </w:tblGrid>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Business Combination Agreement”</w:t>
            </w:r>
          </w:p>
        </w:tc>
        <w:tc>
          <w:tcPr>
            <w:tcW w:w="8033" w:type="dxa"/>
            <w:tcBorders/>
            <w:vAlign w:val="center"/>
          </w:tcPr>
          <w:p>
            <w:pPr>
              <w:pStyle w:val="TableContents"/>
              <w:bidi w:val="0"/>
              <w:spacing w:before="0" w:after="283"/>
              <w:jc w:val="both"/>
              <w:rPr/>
            </w:pPr>
            <w:r>
              <w:rPr/>
              <w:t>means that certain Business Combination Agreement among the Company (f/k/a TradeUp Global Corporation), TGC Merger Sub, a Cayman Islands exempted company incorporated with limited liability, and SAITECH Limited, a Cayman Islands exempted company incorporated with limited liability, dated as of September 27, 2021.</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Cause”</w:t>
            </w:r>
          </w:p>
        </w:tc>
        <w:tc>
          <w:tcPr>
            <w:tcW w:w="8033" w:type="dxa"/>
            <w:tcBorders/>
            <w:vAlign w:val="center"/>
          </w:tcPr>
          <w:p>
            <w:pPr>
              <w:pStyle w:val="TableContents"/>
              <w:bidi w:val="0"/>
              <w:spacing w:before="0" w:after="283"/>
              <w:jc w:val="both"/>
              <w:rPr/>
            </w:pPr>
            <w:r>
              <w:rPr/>
              <w:t>has the meaning ascribed to such term in Sponsor’s employment agreement with the Company as in effect from time to time.</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Chairman”</w:t>
            </w:r>
          </w:p>
        </w:tc>
        <w:tc>
          <w:tcPr>
            <w:tcW w:w="8033" w:type="dxa"/>
            <w:tcBorders/>
            <w:vAlign w:val="center"/>
          </w:tcPr>
          <w:p>
            <w:pPr>
              <w:pStyle w:val="TableContents"/>
              <w:bidi w:val="0"/>
              <w:spacing w:before="0" w:after="283"/>
              <w:jc w:val="both"/>
              <w:rPr/>
            </w:pPr>
            <w:r>
              <w:rPr/>
              <w:t>means the chairman of the board of Directors, if any, appointed by the Directors pursuant to Article 31.7.</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Clearing House”</w:t>
            </w:r>
          </w:p>
        </w:tc>
        <w:tc>
          <w:tcPr>
            <w:tcW w:w="8033" w:type="dxa"/>
            <w:tcBorders/>
            <w:vAlign w:val="center"/>
          </w:tcPr>
          <w:p>
            <w:pPr>
              <w:pStyle w:val="TableContents"/>
              <w:bidi w:val="0"/>
              <w:spacing w:before="0" w:after="283"/>
              <w:jc w:val="both"/>
              <w:rPr/>
            </w:pPr>
            <w:r>
              <w:rPr/>
              <w:t>means a clearing house recognised by the laws of the jurisdiction in which the Shares (or depositary receipts therefor) are listed or quoted on a stock exchange or interdealer quotation system in such jurisdiction.</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Class A Share”</w:t>
            </w:r>
          </w:p>
        </w:tc>
        <w:tc>
          <w:tcPr>
            <w:tcW w:w="8033" w:type="dxa"/>
            <w:tcBorders/>
            <w:vAlign w:val="center"/>
          </w:tcPr>
          <w:p>
            <w:pPr>
              <w:pStyle w:val="TableContents"/>
              <w:bidi w:val="0"/>
              <w:spacing w:before="0" w:after="283"/>
              <w:jc w:val="both"/>
              <w:rPr/>
            </w:pPr>
            <w:r>
              <w:rPr/>
              <w:t>means a class A ordinary share of a par value of US$0.0015 in the share capital of the Company.</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Class B Share”</w:t>
            </w:r>
          </w:p>
        </w:tc>
        <w:tc>
          <w:tcPr>
            <w:tcW w:w="8033" w:type="dxa"/>
            <w:tcBorders/>
            <w:vAlign w:val="center"/>
          </w:tcPr>
          <w:p>
            <w:pPr>
              <w:pStyle w:val="TableContents"/>
              <w:bidi w:val="0"/>
              <w:spacing w:before="0" w:after="283"/>
              <w:jc w:val="both"/>
              <w:rPr/>
            </w:pPr>
            <w:r>
              <w:rPr/>
              <w:t>means a convertible class B ordinary share of a par value of US$0.0015 in the share capital of the Company.</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Class B Ordinary Shareholder”</w:t>
            </w:r>
          </w:p>
        </w:tc>
        <w:tc>
          <w:tcPr>
            <w:tcW w:w="8033" w:type="dxa"/>
            <w:tcBorders/>
            <w:vAlign w:val="center"/>
          </w:tcPr>
          <w:p>
            <w:pPr>
              <w:pStyle w:val="TableContents"/>
              <w:bidi w:val="0"/>
              <w:spacing w:before="0" w:after="283"/>
              <w:jc w:val="both"/>
              <w:rPr/>
            </w:pPr>
            <w:r>
              <w:rPr/>
              <w:t>means a holder of Class B Shares and any Permitted Transferee of such holder so long as such Permitted Transferee is a holder of any Class B Shares.</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Company”</w:t>
            </w:r>
          </w:p>
        </w:tc>
        <w:tc>
          <w:tcPr>
            <w:tcW w:w="8033" w:type="dxa"/>
            <w:tcBorders/>
            <w:vAlign w:val="center"/>
          </w:tcPr>
          <w:p>
            <w:pPr>
              <w:pStyle w:val="TableContents"/>
              <w:bidi w:val="0"/>
              <w:spacing w:before="0" w:after="283"/>
              <w:jc w:val="both"/>
              <w:rPr/>
            </w:pPr>
            <w:r>
              <w:rPr/>
              <w:t>means the above named company.</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Company’s Website”</w:t>
            </w:r>
          </w:p>
        </w:tc>
        <w:tc>
          <w:tcPr>
            <w:tcW w:w="8033" w:type="dxa"/>
            <w:tcBorders/>
            <w:vAlign w:val="center"/>
          </w:tcPr>
          <w:p>
            <w:pPr>
              <w:pStyle w:val="TableContents"/>
              <w:bidi w:val="0"/>
              <w:spacing w:before="0" w:after="283"/>
              <w:jc w:val="both"/>
              <w:rPr/>
            </w:pPr>
            <w:r>
              <w:rPr/>
              <w:t>means the website of the Company and/or its web-address or domain name (if any).</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Compensation Committee”</w:t>
            </w:r>
          </w:p>
        </w:tc>
        <w:tc>
          <w:tcPr>
            <w:tcW w:w="8033" w:type="dxa"/>
            <w:tcBorders/>
            <w:vAlign w:val="center"/>
          </w:tcPr>
          <w:p>
            <w:pPr>
              <w:pStyle w:val="TableContents"/>
              <w:bidi w:val="0"/>
              <w:spacing w:before="0" w:after="283"/>
              <w:jc w:val="both"/>
              <w:rPr/>
            </w:pPr>
            <w:r>
              <w:rPr/>
              <w:t>means the compensation committee of the board of directors of the Company established pursuant to the Articles, or any successor committee.</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Designated Stock Exchange”</w:t>
            </w:r>
          </w:p>
        </w:tc>
        <w:tc>
          <w:tcPr>
            <w:tcW w:w="8033" w:type="dxa"/>
            <w:tcBorders/>
            <w:vAlign w:val="center"/>
          </w:tcPr>
          <w:p>
            <w:pPr>
              <w:pStyle w:val="TableContents"/>
              <w:bidi w:val="0"/>
              <w:spacing w:before="0" w:after="283"/>
              <w:jc w:val="both"/>
              <w:rPr/>
            </w:pPr>
            <w:r>
              <w:rPr/>
              <w:t>means any United States national securities exchange on which the securities of the Company are listed for trading, including the Nasdaq Capital Market.</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Directors”</w:t>
            </w:r>
          </w:p>
        </w:tc>
        <w:tc>
          <w:tcPr>
            <w:tcW w:w="8033" w:type="dxa"/>
            <w:tcBorders/>
            <w:vAlign w:val="center"/>
          </w:tcPr>
          <w:p>
            <w:pPr>
              <w:pStyle w:val="TableContents"/>
              <w:bidi w:val="0"/>
              <w:spacing w:before="0" w:after="283"/>
              <w:jc w:val="both"/>
              <w:rPr/>
            </w:pPr>
            <w:r>
              <w:rPr/>
              <w:t>means the directors for the time being of the Company.</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Dividend”</w:t>
            </w:r>
          </w:p>
        </w:tc>
        <w:tc>
          <w:tcPr>
            <w:tcW w:w="8033" w:type="dxa"/>
            <w:tcBorders/>
            <w:vAlign w:val="center"/>
          </w:tcPr>
          <w:p>
            <w:pPr>
              <w:pStyle w:val="TableContents"/>
              <w:bidi w:val="0"/>
              <w:spacing w:before="0" w:after="283"/>
              <w:jc w:val="both"/>
              <w:rPr/>
            </w:pPr>
            <w:r>
              <w:rPr/>
              <w:t>means any dividend (whether interim or final) resolved to be paid on Shares pursuant to the Articles.</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Electronic Communication”</w:t>
            </w:r>
          </w:p>
        </w:tc>
        <w:tc>
          <w:tcPr>
            <w:tcW w:w="8033" w:type="dxa"/>
            <w:tcBorders/>
            <w:vAlign w:val="center"/>
          </w:tcPr>
          <w:p>
            <w:pPr>
              <w:pStyle w:val="TableContents"/>
              <w:bidi w:val="0"/>
              <w:spacing w:before="0" w:after="283"/>
              <w:jc w:val="both"/>
              <w:rPr/>
            </w:pPr>
            <w:r>
              <w:rPr/>
              <w:t>means a communication sent by electronic means, including electronic posting to the Company’s Website, transmission to any number, address or internet website (including the website of the Securities and Exchange Commission) or other electronic delivery methods as otherwise decided and approved by the Directors.</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 </w:t>
            </w:r>
          </w:p>
        </w:tc>
        <w:tc>
          <w:tcPr>
            <w:tcW w:w="80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left"/>
              <w:rPr/>
            </w:pPr>
            <w:r>
              <w:rPr/>
              <w:t>“</w:t>
            </w:r>
            <w:r>
              <w:rPr>
                <w:b/>
              </w:rPr>
              <w:t>Electronic Record”</w:t>
            </w:r>
          </w:p>
        </w:tc>
        <w:tc>
          <w:tcPr>
            <w:tcW w:w="8033" w:type="dxa"/>
            <w:tcBorders/>
            <w:vAlign w:val="center"/>
          </w:tcPr>
          <w:p>
            <w:pPr>
              <w:pStyle w:val="TableContents"/>
              <w:bidi w:val="0"/>
              <w:spacing w:before="0" w:after="283"/>
              <w:jc w:val="both"/>
              <w:rPr/>
            </w:pPr>
            <w:r>
              <w:rPr/>
              <w:t>has the same meaning as in the Electronic Transactions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8"/>
        <w:gridCol w:w="8212"/>
      </w:tblGrid>
      <w:tr>
        <w:trPr/>
        <w:tc>
          <w:tcPr>
            <w:tcW w:w="75"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left"/>
              <w:rPr/>
            </w:pPr>
            <w:r>
              <w:rPr/>
              <w:t>“</w:t>
            </w:r>
            <w:r>
              <w:rPr>
                <w:b/>
              </w:rPr>
              <w:t>Electronic Transactions Act”</w:t>
            </w:r>
          </w:p>
        </w:tc>
        <w:tc>
          <w:tcPr>
            <w:tcW w:w="8212" w:type="dxa"/>
            <w:tcBorders/>
            <w:vAlign w:val="center"/>
          </w:tcPr>
          <w:p>
            <w:pPr>
              <w:pStyle w:val="TableContents"/>
              <w:bidi w:val="0"/>
              <w:spacing w:before="0" w:after="283"/>
              <w:jc w:val="both"/>
              <w:rPr/>
            </w:pPr>
            <w:r>
              <w:rPr/>
              <w:t>means the Electronic Transactions Act (Revised) of the Cayman Islands.</w:t>
            </w:r>
          </w:p>
        </w:tc>
      </w:tr>
      <w:tr>
        <w:trPr/>
        <w:tc>
          <w:tcPr>
            <w:tcW w:w="75"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left"/>
              <w:rPr/>
            </w:pPr>
            <w:r>
              <w:rPr/>
              <w:t> </w:t>
            </w:r>
          </w:p>
        </w:tc>
        <w:tc>
          <w:tcPr>
            <w:tcW w:w="82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left"/>
              <w:rPr/>
            </w:pPr>
            <w:r>
              <w:rPr/>
              <w:t>“</w:t>
            </w:r>
            <w:r>
              <w:rPr>
                <w:b/>
              </w:rPr>
              <w:t>Exchange Act”</w:t>
            </w:r>
          </w:p>
        </w:tc>
        <w:tc>
          <w:tcPr>
            <w:tcW w:w="8212" w:type="dxa"/>
            <w:tcBorders/>
            <w:vAlign w:val="center"/>
          </w:tcPr>
          <w:p>
            <w:pPr>
              <w:pStyle w:val="TableContents"/>
              <w:bidi w:val="0"/>
              <w:spacing w:before="0" w:after="283"/>
              <w:jc w:val="both"/>
              <w:rPr/>
            </w:pPr>
            <w:r>
              <w:rPr/>
              <w:t>means the United States Securities Exchange Act of 1934, as amended, or any similar U.S. federal statute and the rules and regulations of the Securities and Exchange Commission thereunder, all as the same shall be in effect at the time.</w:t>
            </w:r>
          </w:p>
        </w:tc>
      </w:tr>
      <w:tr>
        <w:trPr/>
        <w:tc>
          <w:tcPr>
            <w:tcW w:w="75"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left"/>
              <w:rPr/>
            </w:pPr>
            <w:r>
              <w:rPr/>
              <w:t> </w:t>
            </w:r>
          </w:p>
        </w:tc>
        <w:tc>
          <w:tcPr>
            <w:tcW w:w="82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left"/>
              <w:rPr/>
            </w:pPr>
            <w:r>
              <w:rPr/>
              <w:t>“</w:t>
            </w:r>
            <w:r>
              <w:rPr>
                <w:b/>
              </w:rPr>
              <w:t>Family Members”</w:t>
            </w:r>
          </w:p>
        </w:tc>
        <w:tc>
          <w:tcPr>
            <w:tcW w:w="8212" w:type="dxa"/>
            <w:tcBorders/>
            <w:vAlign w:val="center"/>
          </w:tcPr>
          <w:p>
            <w:pPr>
              <w:pStyle w:val="TableContents"/>
              <w:bidi w:val="0"/>
              <w:spacing w:before="0" w:after="283"/>
              <w:jc w:val="left"/>
              <w:rPr/>
            </w:pPr>
            <w:r>
              <w:rPr/>
              <w:t>means and includes only the following individuals: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73"/>
        <w:gridCol w:w="9757"/>
      </w:tblGrid>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applicable individual;</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97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spouse of the applicable individual (including former spouses);</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97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parents of the applicable individual;</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97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lineal descendants of the applicable individual, the siblings of the applicable individual; and</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97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lineal descendants of a sibling of the applicable individual.</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97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both"/>
              <w:rPr/>
            </w:pPr>
            <w:r>
              <w:rPr/>
              <w:t>For purposes of the (a) to (e), the descendants of any individual shall include adopted individuals and their issue but only if the adopted individual was adopted prior to attaining age eighteen.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86"/>
        <w:gridCol w:w="8544"/>
      </w:tblGrid>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w:t>
            </w:r>
            <w:r>
              <w:rPr>
                <w:b/>
              </w:rPr>
              <w:t>Sponsor”</w:t>
            </w:r>
          </w:p>
        </w:tc>
        <w:tc>
          <w:tcPr>
            <w:tcW w:w="8544" w:type="dxa"/>
            <w:tcBorders/>
            <w:vAlign w:val="center"/>
          </w:tcPr>
          <w:p>
            <w:pPr>
              <w:pStyle w:val="TableContents"/>
              <w:bidi w:val="0"/>
              <w:spacing w:before="0" w:after="283"/>
              <w:jc w:val="both"/>
              <w:rPr/>
            </w:pPr>
            <w:r>
              <w:rPr/>
              <w:t>the ultimate beneficial owner of Class B Shares.</w:t>
            </w:r>
          </w:p>
        </w:tc>
      </w:tr>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 </w:t>
            </w:r>
          </w:p>
        </w:tc>
        <w:tc>
          <w:tcPr>
            <w:tcW w:w="85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w:t>
            </w:r>
            <w:r>
              <w:rPr>
                <w:b/>
              </w:rPr>
              <w:t>Incapacity”</w:t>
            </w:r>
          </w:p>
        </w:tc>
        <w:tc>
          <w:tcPr>
            <w:tcW w:w="8544" w:type="dxa"/>
            <w:tcBorders/>
            <w:vAlign w:val="center"/>
          </w:tcPr>
          <w:p>
            <w:pPr>
              <w:pStyle w:val="TableContents"/>
              <w:bidi w:val="0"/>
              <w:spacing w:before="0" w:after="283"/>
              <w:jc w:val="both"/>
              <w:rPr/>
            </w:pPr>
            <w:r>
              <w:rPr/>
              <w:t>means, with respect to an individual, the permanent and total disability of such individual so that such individual is unable to engage in any substantial gainful activity by reason of any medically determinable mental impairment which can be expected to result in death or which has lasted or can be expected to last for a continuous period of not less than twelve (12) months as determined by a licensed medical practitioner. In the event of a dispute regarding whether an individual has suffered an Incapacity, no Incapacity of such individual will be deemed to have occurred unless and until an affirmative ruling regarding such Incapacity has been made by a court or arbitral panel of competent jurisdiction, and such ruling has become final and non-appealable.</w:t>
            </w:r>
          </w:p>
        </w:tc>
      </w:tr>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 </w:t>
            </w:r>
          </w:p>
        </w:tc>
        <w:tc>
          <w:tcPr>
            <w:tcW w:w="85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w:t>
            </w:r>
            <w:r>
              <w:rPr>
                <w:b/>
              </w:rPr>
              <w:t>Independent Director”</w:t>
            </w:r>
          </w:p>
        </w:tc>
        <w:tc>
          <w:tcPr>
            <w:tcW w:w="8544" w:type="dxa"/>
            <w:tcBorders/>
            <w:vAlign w:val="center"/>
          </w:tcPr>
          <w:p>
            <w:pPr>
              <w:pStyle w:val="TableContents"/>
              <w:bidi w:val="0"/>
              <w:spacing w:before="0" w:after="283"/>
              <w:jc w:val="both"/>
              <w:rPr/>
            </w:pPr>
            <w:r>
              <w:rPr/>
              <w:t>has the same meaning as in the rules and regulations of the Designated Stock Exchange or in Rule 10A-3 under the Exchange Act, as the case may be.</w:t>
            </w:r>
          </w:p>
        </w:tc>
      </w:tr>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 </w:t>
            </w:r>
          </w:p>
        </w:tc>
        <w:tc>
          <w:tcPr>
            <w:tcW w:w="85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w:t>
            </w:r>
            <w:r>
              <w:rPr>
                <w:b/>
              </w:rPr>
              <w:t>Member”</w:t>
            </w:r>
          </w:p>
        </w:tc>
        <w:tc>
          <w:tcPr>
            <w:tcW w:w="8544" w:type="dxa"/>
            <w:tcBorders/>
            <w:vAlign w:val="center"/>
          </w:tcPr>
          <w:p>
            <w:pPr>
              <w:pStyle w:val="TableContents"/>
              <w:bidi w:val="0"/>
              <w:spacing w:before="0" w:after="283"/>
              <w:jc w:val="both"/>
              <w:rPr/>
            </w:pPr>
            <w:r>
              <w:rPr/>
              <w:t>has the same meaning as in the Statute.</w:t>
            </w:r>
          </w:p>
        </w:tc>
      </w:tr>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 </w:t>
            </w:r>
          </w:p>
        </w:tc>
        <w:tc>
          <w:tcPr>
            <w:tcW w:w="85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w:t>
            </w:r>
            <w:r>
              <w:rPr>
                <w:b/>
              </w:rPr>
              <w:t>Memorandum”</w:t>
            </w:r>
          </w:p>
        </w:tc>
        <w:tc>
          <w:tcPr>
            <w:tcW w:w="8544" w:type="dxa"/>
            <w:tcBorders/>
            <w:vAlign w:val="center"/>
          </w:tcPr>
          <w:p>
            <w:pPr>
              <w:pStyle w:val="TableContents"/>
              <w:bidi w:val="0"/>
              <w:spacing w:before="0" w:after="283"/>
              <w:jc w:val="both"/>
              <w:rPr/>
            </w:pPr>
            <w:r>
              <w:rPr/>
              <w:t>means the memorandum of association of the Company, as amended, supplemented and/or restated from time to time.</w:t>
            </w:r>
          </w:p>
        </w:tc>
      </w:tr>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 </w:t>
            </w:r>
          </w:p>
        </w:tc>
        <w:tc>
          <w:tcPr>
            <w:tcW w:w="85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w:t>
            </w:r>
            <w:r>
              <w:rPr>
                <w:b/>
              </w:rPr>
              <w:t>Merger”</w:t>
            </w:r>
          </w:p>
        </w:tc>
        <w:tc>
          <w:tcPr>
            <w:tcW w:w="8544" w:type="dxa"/>
            <w:tcBorders/>
            <w:vAlign w:val="center"/>
          </w:tcPr>
          <w:p>
            <w:pPr>
              <w:pStyle w:val="TableContents"/>
              <w:bidi w:val="0"/>
              <w:spacing w:before="0" w:after="283"/>
              <w:jc w:val="both"/>
              <w:rPr/>
            </w:pPr>
            <w:r>
              <w:rPr/>
              <w:t>has the meaning ascribed to such term in the Business Combination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8"/>
        <w:gridCol w:w="8002"/>
      </w:tblGrid>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w:t>
            </w:r>
            <w:r>
              <w:rPr>
                <w:b/>
              </w:rPr>
              <w:t>Merger Effective Date”</w:t>
            </w:r>
          </w:p>
        </w:tc>
        <w:tc>
          <w:tcPr>
            <w:tcW w:w="8002" w:type="dxa"/>
            <w:tcBorders/>
            <w:vAlign w:val="center"/>
          </w:tcPr>
          <w:p>
            <w:pPr>
              <w:pStyle w:val="TableContents"/>
              <w:bidi w:val="0"/>
              <w:spacing w:before="0" w:after="283"/>
              <w:jc w:val="both"/>
              <w:rPr/>
            </w:pPr>
            <w:r>
              <w:rPr/>
              <w:t>has the meaning ascribed to such term in the Business Combination Agreement.</w:t>
            </w:r>
          </w:p>
        </w:tc>
      </w:tr>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 </w:t>
            </w:r>
          </w:p>
        </w:tc>
        <w:tc>
          <w:tcPr>
            <w:tcW w:w="800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w:t>
            </w:r>
            <w:r>
              <w:rPr>
                <w:b/>
              </w:rPr>
              <w:t>Nominating and Corporate Governance Committee”</w:t>
            </w:r>
          </w:p>
        </w:tc>
        <w:tc>
          <w:tcPr>
            <w:tcW w:w="8002" w:type="dxa"/>
            <w:tcBorders/>
            <w:vAlign w:val="center"/>
          </w:tcPr>
          <w:p>
            <w:pPr>
              <w:pStyle w:val="TableContents"/>
              <w:bidi w:val="0"/>
              <w:spacing w:before="0" w:after="283"/>
              <w:jc w:val="both"/>
              <w:rPr/>
            </w:pPr>
            <w:r>
              <w:rPr/>
              <w:t>means the nominating and corporate governance committee of the board of directors of the Company established pursuant to the Articles, or any successor committee.</w:t>
            </w:r>
          </w:p>
        </w:tc>
      </w:tr>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 </w:t>
            </w:r>
          </w:p>
        </w:tc>
        <w:tc>
          <w:tcPr>
            <w:tcW w:w="800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w:t>
            </w:r>
            <w:r>
              <w:rPr>
                <w:b/>
              </w:rPr>
              <w:t>Officer”</w:t>
            </w:r>
          </w:p>
        </w:tc>
        <w:tc>
          <w:tcPr>
            <w:tcW w:w="8002" w:type="dxa"/>
            <w:tcBorders/>
            <w:vAlign w:val="center"/>
          </w:tcPr>
          <w:p>
            <w:pPr>
              <w:pStyle w:val="TableContents"/>
              <w:bidi w:val="0"/>
              <w:spacing w:before="0" w:after="283"/>
              <w:jc w:val="both"/>
              <w:rPr/>
            </w:pPr>
            <w:r>
              <w:rPr/>
              <w:t>means a Person appointed to hold an office in the Company.</w:t>
            </w:r>
          </w:p>
        </w:tc>
      </w:tr>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 </w:t>
            </w:r>
          </w:p>
        </w:tc>
        <w:tc>
          <w:tcPr>
            <w:tcW w:w="800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w:t>
            </w:r>
            <w:r>
              <w:rPr>
                <w:b/>
              </w:rPr>
              <w:t>Ordinary Resolution”</w:t>
            </w:r>
          </w:p>
        </w:tc>
        <w:tc>
          <w:tcPr>
            <w:tcW w:w="8002" w:type="dxa"/>
            <w:tcBorders/>
            <w:vAlign w:val="center"/>
          </w:tcPr>
          <w:p>
            <w:pPr>
              <w:pStyle w:val="TableContents"/>
              <w:bidi w:val="0"/>
              <w:spacing w:before="0" w:after="283"/>
              <w:jc w:val="both"/>
              <w:rPr/>
            </w:pPr>
            <w:r>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tc>
      </w:tr>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 </w:t>
            </w:r>
          </w:p>
        </w:tc>
        <w:tc>
          <w:tcPr>
            <w:tcW w:w="800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w:t>
            </w:r>
            <w:r>
              <w:rPr>
                <w:b/>
              </w:rPr>
              <w:t>Ordinary Shares”</w:t>
            </w:r>
          </w:p>
        </w:tc>
        <w:tc>
          <w:tcPr>
            <w:tcW w:w="8002" w:type="dxa"/>
            <w:tcBorders/>
            <w:vAlign w:val="center"/>
          </w:tcPr>
          <w:p>
            <w:pPr>
              <w:pStyle w:val="TableContents"/>
              <w:bidi w:val="0"/>
              <w:spacing w:before="0" w:after="283"/>
              <w:jc w:val="both"/>
              <w:rPr/>
            </w:pPr>
            <w:r>
              <w:rPr/>
              <w:t>means, collectively, the Class A Shares and the Class B Shares.</w:t>
            </w:r>
          </w:p>
        </w:tc>
      </w:tr>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 </w:t>
            </w:r>
          </w:p>
        </w:tc>
        <w:tc>
          <w:tcPr>
            <w:tcW w:w="800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8" w:type="dxa"/>
            <w:tcBorders/>
            <w:vAlign w:val="center"/>
          </w:tcPr>
          <w:p>
            <w:pPr>
              <w:pStyle w:val="TableContents"/>
              <w:bidi w:val="0"/>
              <w:spacing w:before="0" w:after="283"/>
              <w:jc w:val="left"/>
              <w:rPr/>
            </w:pPr>
            <w:r>
              <w:rPr/>
              <w:t>“</w:t>
            </w:r>
            <w:r>
              <w:rPr>
                <w:b/>
              </w:rPr>
              <w:t>Permitted Entity”</w:t>
            </w:r>
          </w:p>
        </w:tc>
        <w:tc>
          <w:tcPr>
            <w:tcW w:w="8002" w:type="dxa"/>
            <w:tcBorders/>
            <w:vAlign w:val="center"/>
          </w:tcPr>
          <w:p>
            <w:pPr>
              <w:pStyle w:val="TableContents"/>
              <w:bidi w:val="0"/>
              <w:spacing w:before="0" w:after="283"/>
              <w:jc w:val="both"/>
              <w:rPr/>
            </w:pPr>
            <w:r>
              <w:rPr/>
              <w:t>means with respect to Sponsor:</w:t>
            </w:r>
          </w:p>
        </w:tc>
      </w:tr>
    </w:tbl>
    <w:p>
      <w:pPr>
        <w:pStyle w:val="TextBody"/>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230"/>
        <w:gridCol w:w="53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in respect of which Sponsor has, directly or indirectly: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288"/>
        <w:gridCol w:w="9782"/>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7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 with respect to the voting of all the Class B Shares held or to be transferred to such Person;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978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direct or cause the direction of management and policies of such Person or any other Person having the authority referred to in the preceding clause (a)(i) (whether by contract, as executor, trustee, trust protector or otherwise); or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978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operational or practical control of such Person, including the right to appoint, designate, remove or replace the Person having the authority referred to in the preceding clauses (a)(i) or (ii) above;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7" w:type="dxa"/>
            <w:tcBorders/>
            <w:vAlign w:val="center"/>
          </w:tcPr>
          <w:p>
            <w:pPr>
              <w:pStyle w:val="TableContents"/>
              <w:bidi w:val="0"/>
              <w:spacing w:before="0" w:after="283"/>
              <w:jc w:val="both"/>
              <w:rPr/>
            </w:pPr>
            <w:r>
              <w:rPr/>
              <w:t>any trust the beneficiaries of which consist primarily of Sponsor, his Family Members, and/or any Persons controlled directly or indirectly by such a trust;</w:t>
            </w:r>
          </w:p>
        </w:tc>
      </w:tr>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8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(c)</w:t>
            </w:r>
          </w:p>
        </w:tc>
        <w:tc>
          <w:tcPr>
            <w:tcW w:w="9867" w:type="dxa"/>
            <w:tcBorders/>
            <w:vAlign w:val="center"/>
          </w:tcPr>
          <w:p>
            <w:pPr>
              <w:pStyle w:val="TableContents"/>
              <w:bidi w:val="0"/>
              <w:spacing w:before="0" w:after="283"/>
              <w:jc w:val="both"/>
              <w:rPr/>
            </w:pPr>
            <w:r>
              <w:rPr/>
              <w:t>any Person Controlled by a trust described in the immediately preceding clause (b) above;</w:t>
            </w:r>
          </w:p>
        </w:tc>
      </w:tr>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8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(d)</w:t>
            </w:r>
          </w:p>
        </w:tc>
        <w:tc>
          <w:tcPr>
            <w:tcW w:w="9867" w:type="dxa"/>
            <w:tcBorders/>
            <w:vAlign w:val="center"/>
          </w:tcPr>
          <w:p>
            <w:pPr>
              <w:pStyle w:val="TableContents"/>
              <w:bidi w:val="0"/>
              <w:spacing w:before="0" w:after="283"/>
              <w:jc w:val="both"/>
              <w:rPr/>
            </w:pPr>
            <w:r>
              <w:rPr/>
              <w:t>any Person designated by the Sponsor in writing as a Permitted Entity; and</w:t>
            </w:r>
          </w:p>
        </w:tc>
      </w:tr>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8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(e)</w:t>
            </w:r>
          </w:p>
        </w:tc>
        <w:tc>
          <w:tcPr>
            <w:tcW w:w="9867" w:type="dxa"/>
            <w:tcBorders/>
            <w:vAlign w:val="center"/>
          </w:tcPr>
          <w:p>
            <w:pPr>
              <w:pStyle w:val="TableContents"/>
              <w:bidi w:val="0"/>
              <w:spacing w:before="0" w:after="283"/>
              <w:jc w:val="both"/>
              <w:rPr/>
            </w:pPr>
            <w:r>
              <w:rPr/>
              <w:t>for the avoidance of doubt, Energy Science Artist Holding Limited.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4"/>
        <w:gridCol w:w="7776"/>
      </w:tblGrid>
      <w:tr>
        <w:trPr/>
        <w:tc>
          <w:tcPr>
            <w:tcW w:w="75" w:type="dxa"/>
            <w:tcBorders/>
            <w:vAlign w:val="center"/>
          </w:tcPr>
          <w:p>
            <w:pPr>
              <w:pStyle w:val="TableContents"/>
              <w:bidi w:val="0"/>
              <w:spacing w:before="0" w:after="283"/>
              <w:jc w:val="left"/>
              <w:rPr/>
            </w:pPr>
            <w:r>
              <w:rPr/>
              <w:t> </w:t>
            </w:r>
          </w:p>
        </w:tc>
        <w:tc>
          <w:tcPr>
            <w:tcW w:w="2354" w:type="dxa"/>
            <w:tcBorders/>
            <w:vAlign w:val="center"/>
          </w:tcPr>
          <w:p>
            <w:pPr>
              <w:pStyle w:val="TableContents"/>
              <w:bidi w:val="0"/>
              <w:spacing w:before="0" w:after="283"/>
              <w:jc w:val="left"/>
              <w:rPr/>
            </w:pPr>
            <w:r>
              <w:rPr/>
              <w:t>“</w:t>
            </w:r>
            <w:r>
              <w:rPr>
                <w:b/>
              </w:rPr>
              <w:t>Permitted Transferee”</w:t>
            </w:r>
          </w:p>
        </w:tc>
        <w:tc>
          <w:tcPr>
            <w:tcW w:w="7776" w:type="dxa"/>
            <w:tcBorders/>
            <w:vAlign w:val="center"/>
          </w:tcPr>
          <w:p>
            <w:pPr>
              <w:pStyle w:val="TableContents"/>
              <w:bidi w:val="0"/>
              <w:spacing w:before="0" w:after="283"/>
              <w:jc w:val="both"/>
              <w:rPr/>
            </w:pPr>
            <w:r>
              <w:rPr/>
              <w:t>means, with respect to the Class B Ordinary Shareholders, any or all of the following:</w:t>
            </w:r>
          </w:p>
        </w:tc>
      </w:tr>
    </w:tbl>
    <w:p>
      <w:pPr>
        <w:pStyle w:val="TextBody"/>
        <w:bidi w:val="0"/>
        <w:spacing w:before="0" w:after="283"/>
        <w:jc w:val="left"/>
        <w:rPr/>
      </w:pPr>
      <w:r>
        <w:rPr/>
        <w:t> </w:t>
      </w:r>
    </w:p>
    <w:tbl>
      <w:tblPr>
        <w:tblW w:w="3040" w:type="dxa"/>
        <w:jc w:val="left"/>
        <w:tblInd w:w="0" w:type="dxa"/>
        <w:tblLayout w:type="fixed"/>
        <w:tblCellMar>
          <w:top w:w="0" w:type="dxa"/>
          <w:left w:w="0" w:type="dxa"/>
          <w:bottom w:w="0" w:type="dxa"/>
          <w:right w:w="0" w:type="dxa"/>
        </w:tblCellMar>
      </w:tblPr>
      <w:tblGrid>
        <w:gridCol w:w="75"/>
        <w:gridCol w:w="245"/>
        <w:gridCol w:w="27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Sponsor;</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Permitted Entities;</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Family Members of Sponsor;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relative of Sponsor approved by the Board;</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97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transferee by operation of law, including in connection with divorce proceedings;</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97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charitable organization, foundation or similar entity;</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97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connection with a transfer as a result of, or in connection with the death or Incapacity of Sponsor, any Family Member of Sponsor or other designee, in each case, approved by the Directors; and</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97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97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both"/>
              <w:rPr/>
            </w:pPr>
            <w:r>
              <w:rPr/>
              <w:t>provided that, in the case of any transfer of Class B Shares pursuant to clauses (b) through (f) above to a Person who at a later time ceases to qualify as a Permitted Transferee under the relevant clause, the Company shall be able to refuse registration of any subsequent transfer of such Class B Shares except back to the Sponsor or his Permitted Entities, and in the absence of such transfer back to the Sponsor or his Permitted Entities, the applicable Class B Shares shall automatically convert in accordance with Article 17.4 applied </w:t>
            </w:r>
            <w:r>
              <w:rPr>
                <w:i/>
              </w:rPr>
              <w:t>mutatis mutandis</w:t>
            </w: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2"/>
        <w:gridCol w:w="8078"/>
      </w:tblGrid>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w:t>
            </w:r>
            <w:r>
              <w:rPr>
                <w:b/>
              </w:rPr>
              <w:t>Person”</w:t>
            </w:r>
          </w:p>
        </w:tc>
        <w:tc>
          <w:tcPr>
            <w:tcW w:w="8078" w:type="dxa"/>
            <w:tcBorders/>
            <w:vAlign w:val="center"/>
          </w:tcPr>
          <w:p>
            <w:pPr>
              <w:pStyle w:val="TableContents"/>
              <w:bidi w:val="0"/>
              <w:spacing w:before="0" w:after="283"/>
              <w:jc w:val="both"/>
              <w:rPr/>
            </w:pPr>
            <w:r>
              <w:rPr/>
              <w:t>means any individual, corporation, partnership, joint venture, trust, unincorporated organization, limited liability company, estate, association, joint stock company, unincorporated organization, company or other form of business or legal entity or government authority.</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w:t>
            </w:r>
            <w:r>
              <w:rPr>
                <w:b/>
              </w:rPr>
              <w:t>Register of Members”</w:t>
            </w:r>
          </w:p>
        </w:tc>
        <w:tc>
          <w:tcPr>
            <w:tcW w:w="8078" w:type="dxa"/>
            <w:tcBorders/>
            <w:vAlign w:val="center"/>
          </w:tcPr>
          <w:p>
            <w:pPr>
              <w:pStyle w:val="TableContents"/>
              <w:bidi w:val="0"/>
              <w:spacing w:before="0" w:after="283"/>
              <w:jc w:val="both"/>
              <w:rPr/>
            </w:pPr>
            <w:r>
              <w:rPr/>
              <w:t>means the register of Members maintained in accordance with the Statute and includes (except where otherwise stated) any branch or duplicate register of Members.</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w:t>
            </w:r>
            <w:r>
              <w:rPr>
                <w:b/>
              </w:rPr>
              <w:t>Registered Office”</w:t>
            </w:r>
          </w:p>
        </w:tc>
        <w:tc>
          <w:tcPr>
            <w:tcW w:w="8078" w:type="dxa"/>
            <w:tcBorders/>
            <w:vAlign w:val="center"/>
          </w:tcPr>
          <w:p>
            <w:pPr>
              <w:pStyle w:val="TableContents"/>
              <w:bidi w:val="0"/>
              <w:spacing w:before="0" w:after="283"/>
              <w:jc w:val="both"/>
              <w:rPr/>
            </w:pPr>
            <w:r>
              <w:rPr/>
              <w:t>means the registered office for the time being of the Company.</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w:t>
            </w:r>
            <w:r>
              <w:rPr>
                <w:b/>
              </w:rPr>
              <w:t>Seal”</w:t>
            </w:r>
          </w:p>
        </w:tc>
        <w:tc>
          <w:tcPr>
            <w:tcW w:w="8078" w:type="dxa"/>
            <w:tcBorders/>
            <w:vAlign w:val="center"/>
          </w:tcPr>
          <w:p>
            <w:pPr>
              <w:pStyle w:val="TableContents"/>
              <w:bidi w:val="0"/>
              <w:spacing w:before="0" w:after="283"/>
              <w:jc w:val="both"/>
              <w:rPr/>
            </w:pPr>
            <w:r>
              <w:rPr/>
              <w:t>means the common seal of the Company and includes every duplicate seal.</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w:t>
            </w:r>
            <w:r>
              <w:rPr>
                <w:b/>
              </w:rPr>
              <w:t>Securities Act”</w:t>
            </w:r>
          </w:p>
        </w:tc>
        <w:tc>
          <w:tcPr>
            <w:tcW w:w="8078" w:type="dxa"/>
            <w:tcBorders/>
            <w:vAlign w:val="center"/>
          </w:tcPr>
          <w:p>
            <w:pPr>
              <w:pStyle w:val="TableContents"/>
              <w:bidi w:val="0"/>
              <w:spacing w:before="0" w:after="283"/>
              <w:jc w:val="both"/>
              <w:rPr/>
            </w:pPr>
            <w:r>
              <w:rPr/>
              <w:t>means the U.S. Securities Act of 1933.</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w:t>
            </w:r>
            <w:r>
              <w:rPr>
                <w:b/>
              </w:rPr>
              <w:t>Securities and Exchange Commission”</w:t>
            </w:r>
          </w:p>
        </w:tc>
        <w:tc>
          <w:tcPr>
            <w:tcW w:w="8078" w:type="dxa"/>
            <w:tcBorders/>
            <w:vAlign w:val="center"/>
          </w:tcPr>
          <w:p>
            <w:pPr>
              <w:pStyle w:val="TableContents"/>
              <w:bidi w:val="0"/>
              <w:spacing w:before="0" w:after="283"/>
              <w:jc w:val="both"/>
              <w:rPr/>
            </w:pPr>
            <w:r>
              <w:rPr/>
              <w:t>means the United States Securities and Exchange Commission.</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w:t>
            </w:r>
            <w:r>
              <w:rPr>
                <w:b/>
              </w:rPr>
              <w:t>Share”</w:t>
            </w:r>
          </w:p>
        </w:tc>
        <w:tc>
          <w:tcPr>
            <w:tcW w:w="8078" w:type="dxa"/>
            <w:tcBorders/>
            <w:vAlign w:val="center"/>
          </w:tcPr>
          <w:p>
            <w:pPr>
              <w:pStyle w:val="TableContents"/>
              <w:bidi w:val="0"/>
              <w:spacing w:before="0" w:after="283"/>
              <w:jc w:val="both"/>
              <w:rPr/>
            </w:pPr>
            <w:r>
              <w:rPr/>
              <w:t>means a share in the capital of the Company and includes a fraction of a share in the Company.</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w:t>
            </w:r>
            <w:r>
              <w:rPr>
                <w:b/>
              </w:rPr>
              <w:t>Special Resolution”</w:t>
            </w:r>
          </w:p>
        </w:tc>
        <w:tc>
          <w:tcPr>
            <w:tcW w:w="8078" w:type="dxa"/>
            <w:tcBorders/>
            <w:vAlign w:val="center"/>
          </w:tcPr>
          <w:p>
            <w:pPr>
              <w:pStyle w:val="TableContents"/>
              <w:bidi w:val="0"/>
              <w:spacing w:before="0" w:after="283"/>
              <w:jc w:val="both"/>
              <w:rPr/>
            </w:pPr>
            <w:r>
              <w:rPr/>
              <w:t>has the same meaning as in the Statute, and includes a unanimous written resolution.</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w:t>
            </w:r>
            <w:r>
              <w:rPr>
                <w:b/>
              </w:rPr>
              <w:t>Statute”</w:t>
            </w:r>
          </w:p>
        </w:tc>
        <w:tc>
          <w:tcPr>
            <w:tcW w:w="8078" w:type="dxa"/>
            <w:tcBorders/>
            <w:vAlign w:val="center"/>
          </w:tcPr>
          <w:p>
            <w:pPr>
              <w:pStyle w:val="TableContents"/>
              <w:bidi w:val="0"/>
              <w:spacing w:before="0" w:after="283"/>
              <w:jc w:val="both"/>
              <w:rPr/>
            </w:pPr>
            <w:r>
              <w:rPr/>
              <w:t>means the Companies Act (Revised) of the Cayman Islands.</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2" w:type="dxa"/>
            <w:tcBorders/>
            <w:vAlign w:val="center"/>
          </w:tcPr>
          <w:p>
            <w:pPr>
              <w:pStyle w:val="TableContents"/>
              <w:bidi w:val="0"/>
              <w:spacing w:before="0" w:after="283"/>
              <w:jc w:val="left"/>
              <w:rPr/>
            </w:pPr>
            <w:r>
              <w:rPr/>
              <w:t>“</w:t>
            </w:r>
            <w:r>
              <w:rPr>
                <w:b/>
              </w:rPr>
              <w:t>Treasury Share”</w:t>
            </w:r>
          </w:p>
        </w:tc>
        <w:tc>
          <w:tcPr>
            <w:tcW w:w="8078" w:type="dxa"/>
            <w:tcBorders/>
            <w:vAlign w:val="center"/>
          </w:tcPr>
          <w:p>
            <w:pPr>
              <w:pStyle w:val="TableContents"/>
              <w:bidi w:val="0"/>
              <w:spacing w:before="0" w:after="283"/>
              <w:jc w:val="both"/>
              <w:rPr/>
            </w:pPr>
            <w:r>
              <w:rPr/>
              <w:t>means a Share held in the name of the Company as a treasury share in accordance with the Statute.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35"/>
        <w:gridCol w:w="1430"/>
      </w:tblGrid>
      <w:tr>
        <w:trPr/>
        <w:tc>
          <w:tcPr>
            <w:tcW w:w="335" w:type="dxa"/>
            <w:tcBorders/>
            <w:vAlign w:val="center"/>
          </w:tcPr>
          <w:p>
            <w:pPr>
              <w:pStyle w:val="TableContents"/>
              <w:bidi w:val="0"/>
              <w:spacing w:before="0" w:after="283"/>
              <w:jc w:val="left"/>
              <w:rPr/>
            </w:pPr>
            <w:r>
              <w:rPr/>
              <w:t>1.2</w:t>
            </w:r>
          </w:p>
        </w:tc>
        <w:tc>
          <w:tcPr>
            <w:tcW w:w="1430" w:type="dxa"/>
            <w:tcBorders/>
            <w:vAlign w:val="center"/>
          </w:tcPr>
          <w:p>
            <w:pPr>
              <w:pStyle w:val="TableContents"/>
              <w:bidi w:val="0"/>
              <w:spacing w:before="0" w:after="283"/>
              <w:jc w:val="left"/>
              <w:rPr/>
            </w:pPr>
            <w:r>
              <w:rPr/>
              <w:t>In the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(a)</w:t>
            </w:r>
          </w:p>
        </w:tc>
        <w:tc>
          <w:tcPr>
            <w:tcW w:w="9836" w:type="dxa"/>
            <w:tcBorders/>
            <w:vAlign w:val="center"/>
          </w:tcPr>
          <w:p>
            <w:pPr>
              <w:pStyle w:val="TableContents"/>
              <w:bidi w:val="0"/>
              <w:spacing w:before="0" w:after="283"/>
              <w:jc w:val="both"/>
              <w:rPr/>
            </w:pPr>
            <w:r>
              <w:rPr/>
              <w:t>words importing the singular number include the plural number and vice versa;</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(b)</w:t>
            </w:r>
          </w:p>
        </w:tc>
        <w:tc>
          <w:tcPr>
            <w:tcW w:w="9836" w:type="dxa"/>
            <w:tcBorders/>
            <w:vAlign w:val="center"/>
          </w:tcPr>
          <w:p>
            <w:pPr>
              <w:pStyle w:val="TableContents"/>
              <w:bidi w:val="0"/>
              <w:spacing w:before="0" w:after="283"/>
              <w:jc w:val="both"/>
              <w:rPr/>
            </w:pPr>
            <w:r>
              <w:rPr/>
              <w:t>words importing the masculine gender include the feminine gender;</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(c)</w:t>
            </w:r>
          </w:p>
        </w:tc>
        <w:tc>
          <w:tcPr>
            <w:tcW w:w="9836" w:type="dxa"/>
            <w:tcBorders/>
            <w:vAlign w:val="center"/>
          </w:tcPr>
          <w:p>
            <w:pPr>
              <w:pStyle w:val="TableContents"/>
              <w:bidi w:val="0"/>
              <w:spacing w:before="0" w:after="283"/>
              <w:jc w:val="both"/>
              <w:rPr/>
            </w:pPr>
            <w:r>
              <w:rPr/>
              <w:t>references to any agreement, deed or other instrument (including to these Articles and the Memorandum) is a reference to that agreement or instrument as amended, restated, or novated from time to time;</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(d)</w:t>
            </w:r>
          </w:p>
        </w:tc>
        <w:tc>
          <w:tcPr>
            <w:tcW w:w="9836" w:type="dxa"/>
            <w:tcBorders/>
            <w:vAlign w:val="center"/>
          </w:tcPr>
          <w:p>
            <w:pPr>
              <w:pStyle w:val="TableContents"/>
              <w:bidi w:val="0"/>
              <w:spacing w:before="0" w:after="283"/>
              <w:jc w:val="both"/>
              <w:rPr/>
            </w:pPr>
            <w:r>
              <w:rPr/>
              <w:t>“</w:t>
            </w:r>
            <w:r>
              <w:rPr/>
              <w:t>written” and “in writing” include all modes of representing or reproducing words in visible form, including in the form of an Electronic Record;</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(e)</w:t>
            </w:r>
          </w:p>
        </w:tc>
        <w:tc>
          <w:tcPr>
            <w:tcW w:w="9836" w:type="dxa"/>
            <w:tcBorders/>
            <w:vAlign w:val="center"/>
          </w:tcPr>
          <w:p>
            <w:pPr>
              <w:pStyle w:val="TableContents"/>
              <w:bidi w:val="0"/>
              <w:spacing w:before="0" w:after="283"/>
              <w:jc w:val="left"/>
              <w:rPr/>
            </w:pPr>
            <w:r>
              <w:rPr/>
              <w:t>“</w:t>
            </w:r>
            <w:r>
              <w:rPr/>
              <w:t>shall” shall be construed as imperative and “may” shall be construed as permissive;</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(f)</w:t>
            </w:r>
          </w:p>
        </w:tc>
        <w:tc>
          <w:tcPr>
            <w:tcW w:w="9836" w:type="dxa"/>
            <w:tcBorders/>
            <w:vAlign w:val="center"/>
          </w:tcPr>
          <w:p>
            <w:pPr>
              <w:pStyle w:val="TableContents"/>
              <w:bidi w:val="0"/>
              <w:spacing w:before="0" w:after="283"/>
              <w:jc w:val="both"/>
              <w:rPr/>
            </w:pPr>
            <w:r>
              <w:rPr/>
              <w:t>references to provisions of any law or regulation shall be construed as references to those provisions as amended, modified, re-enacted or replaced;</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(g)</w:t>
            </w:r>
          </w:p>
        </w:tc>
        <w:tc>
          <w:tcPr>
            <w:tcW w:w="9836" w:type="dxa"/>
            <w:tcBorders/>
            <w:vAlign w:val="center"/>
          </w:tcPr>
          <w:p>
            <w:pPr>
              <w:pStyle w:val="TableContents"/>
              <w:bidi w:val="0"/>
              <w:spacing w:before="0" w:after="283"/>
              <w:jc w:val="both"/>
              <w:rPr/>
            </w:pPr>
            <w:r>
              <w:rPr/>
              <w:t>any phrase introduced by the terms “including”, “include”, “in particular” or any similar expression shall be construed as illustrative and shall not limit the sense of the words preceding those terms;</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(h)</w:t>
            </w:r>
          </w:p>
        </w:tc>
        <w:tc>
          <w:tcPr>
            <w:tcW w:w="9836" w:type="dxa"/>
            <w:tcBorders/>
            <w:vAlign w:val="center"/>
          </w:tcPr>
          <w:p>
            <w:pPr>
              <w:pStyle w:val="TableContents"/>
              <w:bidi w:val="0"/>
              <w:spacing w:before="0" w:after="283"/>
              <w:jc w:val="both"/>
              <w:rPr/>
            </w:pPr>
            <w:r>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(i)</w:t>
            </w:r>
          </w:p>
        </w:tc>
        <w:tc>
          <w:tcPr>
            <w:tcW w:w="9836" w:type="dxa"/>
            <w:tcBorders/>
            <w:vAlign w:val="center"/>
          </w:tcPr>
          <w:p>
            <w:pPr>
              <w:pStyle w:val="TableContents"/>
              <w:bidi w:val="0"/>
              <w:spacing w:before="0" w:after="283"/>
              <w:jc w:val="both"/>
              <w:rPr/>
            </w:pPr>
            <w:r>
              <w:rPr/>
              <w:t>headings are inserted for reference only and shall be ignored in construing the Articles;</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(j)</w:t>
            </w:r>
          </w:p>
        </w:tc>
        <w:tc>
          <w:tcPr>
            <w:tcW w:w="9836" w:type="dxa"/>
            <w:tcBorders/>
            <w:vAlign w:val="center"/>
          </w:tcPr>
          <w:p>
            <w:pPr>
              <w:pStyle w:val="TableContents"/>
              <w:bidi w:val="0"/>
              <w:spacing w:before="0" w:after="283"/>
              <w:jc w:val="both"/>
              <w:rPr/>
            </w:pPr>
            <w:r>
              <w:rPr/>
              <w:t>any requirements as to delivery under the Articles include delivery in the form of an Electronic Record;</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(k)</w:t>
            </w:r>
          </w:p>
        </w:tc>
        <w:tc>
          <w:tcPr>
            <w:tcW w:w="9836" w:type="dxa"/>
            <w:tcBorders/>
            <w:vAlign w:val="center"/>
          </w:tcPr>
          <w:p>
            <w:pPr>
              <w:pStyle w:val="TableContents"/>
              <w:bidi w:val="0"/>
              <w:spacing w:before="0" w:after="283"/>
              <w:jc w:val="both"/>
              <w:rPr/>
            </w:pPr>
            <w:r>
              <w:rPr/>
              <w:t>any requirements as to execution or signature under the Articles including the execution of the Articles themselves can be satisfied in the form of an electronic signature as defined in the Electronic Transactions Act;</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(l)</w:t>
            </w:r>
          </w:p>
        </w:tc>
        <w:tc>
          <w:tcPr>
            <w:tcW w:w="9836" w:type="dxa"/>
            <w:tcBorders/>
            <w:vAlign w:val="center"/>
          </w:tcPr>
          <w:p>
            <w:pPr>
              <w:pStyle w:val="TableContents"/>
              <w:bidi w:val="0"/>
              <w:spacing w:before="0" w:after="283"/>
              <w:jc w:val="both"/>
              <w:rPr/>
            </w:pPr>
            <w:r>
              <w:rPr/>
              <w:t>sections 8 and 19(3) of the Electronic Transactions Act shall not apply;</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(m)</w:t>
            </w:r>
          </w:p>
        </w:tc>
        <w:tc>
          <w:tcPr>
            <w:tcW w:w="9836" w:type="dxa"/>
            <w:tcBorders/>
            <w:vAlign w:val="center"/>
          </w:tcPr>
          <w:p>
            <w:pPr>
              <w:pStyle w:val="TableContents"/>
              <w:bidi w:val="0"/>
              <w:spacing w:before="0" w:after="283"/>
              <w:jc w:val="both"/>
              <w:rPr/>
            </w:pPr>
            <w:r>
              <w:rPr/>
              <w:t>the term “clear days” in relation to the period of a notice means that period excluding the day when the notice is received or deemed to be received and the day for which it is given or on which it is to take effect;</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(n)</w:t>
            </w:r>
          </w:p>
        </w:tc>
        <w:tc>
          <w:tcPr>
            <w:tcW w:w="9836" w:type="dxa"/>
            <w:tcBorders/>
            <w:vAlign w:val="center"/>
          </w:tcPr>
          <w:p>
            <w:pPr>
              <w:pStyle w:val="TableContents"/>
              <w:bidi w:val="0"/>
              <w:spacing w:before="0" w:after="283"/>
              <w:jc w:val="both"/>
              <w:rPr/>
            </w:pPr>
            <w:r>
              <w:rPr/>
              <w:t>a reference to “$”, “US$”, “USD”, or dollar(s) is a reference to the lawful currency of the United States of America;</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(o)</w:t>
            </w:r>
          </w:p>
        </w:tc>
        <w:tc>
          <w:tcPr>
            <w:tcW w:w="9836" w:type="dxa"/>
            <w:tcBorders/>
            <w:vAlign w:val="center"/>
          </w:tcPr>
          <w:p>
            <w:pPr>
              <w:pStyle w:val="TableContents"/>
              <w:bidi w:val="0"/>
              <w:spacing w:before="0" w:after="283"/>
              <w:jc w:val="both"/>
              <w:rPr/>
            </w:pPr>
            <w:r>
              <w:rPr/>
              <w:t>“</w:t>
            </w:r>
            <w:r>
              <w:rPr/>
              <w:t>directly or indirectly” means, except where the context requires otherwise, directly or indirectly through one or more intermediate Persons or through contractual or other arrangements, and “direct or indirect” has the correlative meaning; and</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(p)</w:t>
            </w:r>
          </w:p>
        </w:tc>
        <w:tc>
          <w:tcPr>
            <w:tcW w:w="9836" w:type="dxa"/>
            <w:tcBorders/>
            <w:vAlign w:val="center"/>
          </w:tcPr>
          <w:p>
            <w:pPr>
              <w:pStyle w:val="TableContents"/>
              <w:bidi w:val="0"/>
              <w:spacing w:before="0" w:after="283"/>
              <w:jc w:val="both"/>
              <w:rPr/>
            </w:pPr>
            <w:r>
              <w:rPr/>
              <w:t>the term “holder” in relation to a Share means a Person whose name is entered in the Register of Members as the holder of such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2</w:t>
            </w:r>
          </w:p>
        </w:tc>
        <w:tc>
          <w:tcPr>
            <w:tcW w:w="9870" w:type="dxa"/>
            <w:tcBorders/>
            <w:vAlign w:val="center"/>
          </w:tcPr>
          <w:p>
            <w:pPr>
              <w:pStyle w:val="TableContents"/>
              <w:bidi w:val="0"/>
              <w:spacing w:before="0" w:after="283"/>
              <w:jc w:val="left"/>
              <w:rPr>
                <w:b/>
              </w:rPr>
            </w:pPr>
            <w:r>
              <w:rPr>
                <w:b/>
              </w:rPr>
              <w:t>Commencement of Business</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283"/>
              <w:jc w:val="both"/>
              <w:rPr/>
            </w:pPr>
            <w:r>
              <w:rPr/>
              <w:t>The business of the Company may be commenced as soon after incorporation of the Company as the Directors shall see fit.</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2.2</w:t>
            </w:r>
          </w:p>
        </w:tc>
        <w:tc>
          <w:tcPr>
            <w:tcW w:w="9870" w:type="dxa"/>
            <w:tcBorders/>
            <w:vAlign w:val="center"/>
          </w:tcPr>
          <w:p>
            <w:pPr>
              <w:pStyle w:val="TableContents"/>
              <w:bidi w:val="0"/>
              <w:spacing w:before="0" w:after="283"/>
              <w:jc w:val="both"/>
              <w:rPr/>
            </w:pPr>
            <w:r>
              <w:rPr/>
              <w:t>The Directors may pay, out of the capital or any other monies of the Company, all expenses incurred in or about the formation and establishment of the Company, including the expenses of registration.</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b/>
              </w:rPr>
            </w:pPr>
            <w:r>
              <w:rPr>
                <w:b/>
              </w:rPr>
              <w:t>3</w:t>
            </w:r>
          </w:p>
        </w:tc>
        <w:tc>
          <w:tcPr>
            <w:tcW w:w="9870" w:type="dxa"/>
            <w:tcBorders/>
            <w:vAlign w:val="center"/>
          </w:tcPr>
          <w:p>
            <w:pPr>
              <w:pStyle w:val="TableContents"/>
              <w:bidi w:val="0"/>
              <w:spacing w:before="0" w:after="283"/>
              <w:jc w:val="both"/>
              <w:rPr>
                <w:b/>
              </w:rPr>
            </w:pPr>
            <w:r>
              <w:rPr>
                <w:b/>
              </w:rPr>
              <w:t>Issue of Shares and other Securities</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3.1</w:t>
            </w:r>
          </w:p>
        </w:tc>
        <w:tc>
          <w:tcPr>
            <w:tcW w:w="9870" w:type="dxa"/>
            <w:tcBorders/>
            <w:vAlign w:val="center"/>
          </w:tcPr>
          <w:p>
            <w:pPr>
              <w:pStyle w:val="TableContents"/>
              <w:bidi w:val="0"/>
              <w:spacing w:before="0" w:after="283"/>
              <w:jc w:val="both"/>
              <w:rPr/>
            </w:pPr>
            <w:r>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conversion of the Class B Shares set out in the Articles. No holder of Ordinary Shares shall have pre-emptive rights.</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3.2</w:t>
            </w:r>
          </w:p>
        </w:tc>
        <w:tc>
          <w:tcPr>
            <w:tcW w:w="9870" w:type="dxa"/>
            <w:tcBorders/>
            <w:vAlign w:val="center"/>
          </w:tcPr>
          <w:p>
            <w:pPr>
              <w:pStyle w:val="TableContents"/>
              <w:bidi w:val="0"/>
              <w:spacing w:before="0" w:after="283"/>
              <w:jc w:val="both"/>
              <w:rPr/>
            </w:pPr>
            <w:r>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3.3</w:t>
            </w:r>
          </w:p>
        </w:tc>
        <w:tc>
          <w:tcPr>
            <w:tcW w:w="9870" w:type="dxa"/>
            <w:tcBorders/>
            <w:vAlign w:val="center"/>
          </w:tcPr>
          <w:p>
            <w:pPr>
              <w:pStyle w:val="TableContents"/>
              <w:bidi w:val="0"/>
              <w:spacing w:before="0" w:after="283"/>
              <w:jc w:val="both"/>
              <w:rPr/>
            </w:pPr>
            <w:r>
              <w:rPr/>
              <w:t>Except as set forth otherwise in Article 17.3, the Directors may provide, out of the unissued shares, for a series of preference shares. Before any preference shares of any such series are issued, the Directors shall fix, by resolution or resolutions, the following provisions of the preference shares thereof,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283"/>
              <w:jc w:val="both"/>
              <w:rPr/>
            </w:pPr>
            <w:r>
              <w:rPr/>
              <w:t>the designation of such series, the number of preference shares to constitute such series and the subscription price thereof if different from the par value thereof;</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whether the shares of such series shall have voting rights, in addition to any voting rights provided by law, and, if so, the terms of such voting rights, which may be general or limited;</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preference shares;</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(d)</w:t>
            </w:r>
          </w:p>
        </w:tc>
        <w:tc>
          <w:tcPr>
            <w:tcW w:w="9897" w:type="dxa"/>
            <w:tcBorders/>
            <w:vAlign w:val="center"/>
          </w:tcPr>
          <w:p>
            <w:pPr>
              <w:pStyle w:val="TableContents"/>
              <w:bidi w:val="0"/>
              <w:spacing w:before="0" w:after="283"/>
              <w:jc w:val="both"/>
              <w:rPr/>
            </w:pPr>
            <w:r>
              <w:rPr/>
              <w:t>whether the preference shares of such series shall be subject to redemption by the Company, and, if so, the times, prices and other conditions of such redemption;</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(e)</w:t>
            </w:r>
          </w:p>
        </w:tc>
        <w:tc>
          <w:tcPr>
            <w:tcW w:w="9897" w:type="dxa"/>
            <w:tcBorders/>
            <w:vAlign w:val="center"/>
          </w:tcPr>
          <w:p>
            <w:pPr>
              <w:pStyle w:val="TableContents"/>
              <w:bidi w:val="0"/>
              <w:spacing w:before="0" w:after="283"/>
              <w:jc w:val="both"/>
              <w:rPr/>
            </w:pPr>
            <w:r>
              <w:rPr/>
              <w:t>the amount or amounts payable upon preference shares of such series upon, and the rights of the holders of such series in, a voluntary or involuntary liquidation, dissolution or winding up, or upon any distribution of the assets, of the Company;</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(f)</w:t>
            </w:r>
          </w:p>
        </w:tc>
        <w:tc>
          <w:tcPr>
            <w:tcW w:w="9897" w:type="dxa"/>
            <w:tcBorders/>
            <w:vAlign w:val="center"/>
          </w:tcPr>
          <w:p>
            <w:pPr>
              <w:pStyle w:val="TableContents"/>
              <w:bidi w:val="0"/>
              <w:spacing w:before="0" w:after="283"/>
              <w:jc w:val="both"/>
              <w:rPr/>
            </w:pPr>
            <w:r>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thereof;</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(g)</w:t>
            </w:r>
          </w:p>
        </w:tc>
        <w:tc>
          <w:tcPr>
            <w:tcW w:w="9896" w:type="dxa"/>
            <w:tcBorders/>
            <w:vAlign w:val="center"/>
          </w:tcPr>
          <w:p>
            <w:pPr>
              <w:pStyle w:val="TableContents"/>
              <w:bidi w:val="0"/>
              <w:spacing w:before="0" w:after="283"/>
              <w:jc w:val="both"/>
              <w:rPr/>
            </w:pPr>
            <w:r>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(h)</w:t>
            </w:r>
          </w:p>
        </w:tc>
        <w:tc>
          <w:tcPr>
            <w:tcW w:w="9896" w:type="dxa"/>
            <w:tcBorders/>
            <w:vAlign w:val="center"/>
          </w:tcPr>
          <w:p>
            <w:pPr>
              <w:pStyle w:val="TableContents"/>
              <w:bidi w:val="0"/>
              <w:spacing w:before="0" w:after="283"/>
              <w:jc w:val="both"/>
              <w:rPr/>
            </w:pPr>
            <w:r>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of shares or any other series of preference shares;</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(i)</w:t>
            </w:r>
          </w:p>
        </w:tc>
        <w:tc>
          <w:tcPr>
            <w:tcW w:w="9896" w:type="dxa"/>
            <w:tcBorders/>
            <w:vAlign w:val="center"/>
          </w:tcPr>
          <w:p>
            <w:pPr>
              <w:pStyle w:val="TableContents"/>
              <w:bidi w:val="0"/>
              <w:spacing w:before="0" w:after="283"/>
              <w:jc w:val="both"/>
              <w:rPr/>
            </w:pPr>
            <w:r>
              <w:rPr/>
              <w:t>the conditions or restrictions, if any, upon the creation of indebtedness of the Company or upon the issue of any additional shares, including additional shares of such series or of any other class of shares or any other series of preference shares; and</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(j)</w:t>
            </w:r>
          </w:p>
        </w:tc>
        <w:tc>
          <w:tcPr>
            <w:tcW w:w="9896" w:type="dxa"/>
            <w:tcBorders/>
            <w:vAlign w:val="center"/>
          </w:tcPr>
          <w:p>
            <w:pPr>
              <w:pStyle w:val="TableContents"/>
              <w:bidi w:val="0"/>
              <w:spacing w:before="0" w:after="283"/>
              <w:jc w:val="both"/>
              <w:rPr/>
            </w:pPr>
            <w:r>
              <w:rPr/>
              <w:t>any other powers, preferences and relative, participating, optional and other special rights, and any qualifications, limitations and restrictions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Without limiting the foregoing and subject to </w:t>
      </w:r>
      <w:r>
        <w:rPr>
          <w:rFonts w:ascii="Times New Roman;Times;Serif" w:hAnsi="Times New Roman;Times;Serif"/>
          <w:b/>
          <w:i/>
          <w:caps w:val="false"/>
          <w:smallCaps w:val="false"/>
          <w:sz w:val="20"/>
          <w:u w:val="single"/>
        </w:rPr>
        <w:t>Articles 17.3 and 23.1</w:t>
      </w:r>
      <w:r>
        <w:rPr>
          <w:rFonts w:ascii="Times New Roman;Times;Serif" w:hAnsi="Times New Roman;Times;Serif"/>
          <w:b/>
          <w:i w:val="false"/>
          <w:caps w:val="false"/>
          <w:smallCaps w:val="false"/>
          <w:sz w:val="20"/>
        </w:rPr>
        <w:t>, the voting powers of any series of </w:t>
      </w:r>
      <w:r>
        <w:rPr>
          <w:rFonts w:ascii="Times New Roman;Times;Serif" w:hAnsi="Times New Roman;Times;Serif"/>
          <w:b w:val="false"/>
          <w:i w:val="false"/>
          <w:caps w:val="false"/>
          <w:smallCaps w:val="false"/>
          <w:sz w:val="20"/>
        </w:rPr>
        <w:t>preference shares </w:t>
      </w:r>
      <w:r>
        <w:rPr>
          <w:rFonts w:ascii="Times New Roman;Times;Serif" w:hAnsi="Times New Roman;Times;Serif"/>
          <w:b/>
          <w:i w:val="false"/>
          <w:caps w:val="false"/>
          <w:smallCaps w:val="false"/>
          <w:sz w:val="20"/>
        </w:rPr>
        <w:t>may include the right, in the circumstances specified in the resolution or resolutions providing for the issuance of such </w:t>
      </w:r>
      <w:r>
        <w:rPr>
          <w:rFonts w:ascii="Times New Roman;Times;Serif" w:hAnsi="Times New Roman;Times;Serif"/>
          <w:b w:val="false"/>
          <w:i w:val="false"/>
          <w:caps w:val="false"/>
          <w:smallCaps w:val="false"/>
          <w:sz w:val="20"/>
        </w:rPr>
        <w:t>preference shares</w:t>
      </w:r>
      <w:r>
        <w:rPr>
          <w:rFonts w:ascii="Times New Roman;Times;Serif" w:hAnsi="Times New Roman;Times;Serif"/>
          <w:b/>
          <w:i w:val="false"/>
          <w:caps w:val="false"/>
          <w:smallCaps w:val="false"/>
          <w:sz w:val="20"/>
        </w:rPr>
        <w:t>, to elect one or more Directors who shall serve for such term and have such voting powers as shall be stated in the resolution or resolutions providing for the issuance of such </w:t>
      </w:r>
      <w:r>
        <w:rPr>
          <w:rFonts w:ascii="Times New Roman;Times;Serif" w:hAnsi="Times New Roman;Times;Serif"/>
          <w:b w:val="false"/>
          <w:i w:val="false"/>
          <w:caps w:val="false"/>
          <w:smallCaps w:val="false"/>
          <w:sz w:val="20"/>
        </w:rPr>
        <w:t>preference shares</w:t>
      </w:r>
      <w:r>
        <w:rPr>
          <w:rFonts w:ascii="Times New Roman;Times;Serif" w:hAnsi="Times New Roman;Times;Serif"/>
          <w:b/>
          <w:i w:val="false"/>
          <w:caps w:val="false"/>
          <w:smallCaps w:val="false"/>
          <w:sz w:val="20"/>
        </w:rPr>
        <w:t>. The term of office and voting powers of any Director elected in the manner provided in the immediately preceding sentence of this Article 3.3 may be greater than or less than those of any other Director.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3.4</w:t>
            </w:r>
          </w:p>
        </w:tc>
        <w:tc>
          <w:tcPr>
            <w:tcW w:w="9870" w:type="dxa"/>
            <w:tcBorders/>
            <w:vAlign w:val="center"/>
          </w:tcPr>
          <w:p>
            <w:pPr>
              <w:pStyle w:val="TableContents"/>
              <w:bidi w:val="0"/>
              <w:spacing w:before="0" w:after="283"/>
              <w:jc w:val="both"/>
              <w:rPr/>
            </w:pPr>
            <w:r>
              <w:rPr/>
              <w:t>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3.5</w:t>
            </w:r>
          </w:p>
        </w:tc>
        <w:tc>
          <w:tcPr>
            <w:tcW w:w="9870" w:type="dxa"/>
            <w:tcBorders/>
            <w:vAlign w:val="center"/>
          </w:tcPr>
          <w:p>
            <w:pPr>
              <w:pStyle w:val="TableContents"/>
              <w:bidi w:val="0"/>
              <w:spacing w:before="0" w:after="283"/>
              <w:jc w:val="left"/>
              <w:rPr/>
            </w:pPr>
            <w:r>
              <w:rPr/>
              <w:t>The Company shall not issue Shares to bearer.</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4</w:t>
            </w:r>
          </w:p>
        </w:tc>
        <w:tc>
          <w:tcPr>
            <w:tcW w:w="9870" w:type="dxa"/>
            <w:tcBorders/>
            <w:vAlign w:val="center"/>
          </w:tcPr>
          <w:p>
            <w:pPr>
              <w:pStyle w:val="TableContents"/>
              <w:bidi w:val="0"/>
              <w:spacing w:before="0" w:after="283"/>
              <w:jc w:val="left"/>
              <w:rPr>
                <w:b/>
              </w:rPr>
            </w:pPr>
            <w:r>
              <w:rPr>
                <w:b/>
              </w:rPr>
              <w:t>Register of Members</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4.1</w:t>
            </w:r>
          </w:p>
        </w:tc>
        <w:tc>
          <w:tcPr>
            <w:tcW w:w="9870" w:type="dxa"/>
            <w:tcBorders/>
            <w:vAlign w:val="center"/>
          </w:tcPr>
          <w:p>
            <w:pPr>
              <w:pStyle w:val="TableContents"/>
              <w:bidi w:val="0"/>
              <w:spacing w:before="0" w:after="283"/>
              <w:jc w:val="both"/>
              <w:rPr/>
            </w:pPr>
            <w:r>
              <w:rPr/>
              <w:t>The Company shall maintain or cause to be maintained the Register of Members in accordance with the Statute.</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both"/>
              <w:rPr/>
            </w:pPr>
            <w:r>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5</w:t>
            </w:r>
          </w:p>
        </w:tc>
        <w:tc>
          <w:tcPr>
            <w:tcW w:w="9870" w:type="dxa"/>
            <w:tcBorders/>
            <w:vAlign w:val="center"/>
          </w:tcPr>
          <w:p>
            <w:pPr>
              <w:pStyle w:val="TableContents"/>
              <w:bidi w:val="0"/>
              <w:spacing w:before="0" w:after="283"/>
              <w:jc w:val="left"/>
              <w:rPr>
                <w:b/>
              </w:rPr>
            </w:pPr>
            <w:r>
              <w:rPr>
                <w:b/>
              </w:rPr>
              <w:t>Closing Register of Members or Fixing Record Date</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5.1</w:t>
            </w:r>
          </w:p>
        </w:tc>
        <w:tc>
          <w:tcPr>
            <w:tcW w:w="9870" w:type="dxa"/>
            <w:tcBorders/>
            <w:vAlign w:val="center"/>
          </w:tcPr>
          <w:p>
            <w:pPr>
              <w:pStyle w:val="TableContents"/>
              <w:bidi w:val="0"/>
              <w:spacing w:before="0" w:after="283"/>
              <w:jc w:val="both"/>
              <w:rPr/>
            </w:pPr>
            <w:r>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5.2</w:t>
            </w:r>
          </w:p>
        </w:tc>
        <w:tc>
          <w:tcPr>
            <w:tcW w:w="9870" w:type="dxa"/>
            <w:tcBorders/>
            <w:vAlign w:val="center"/>
          </w:tcPr>
          <w:p>
            <w:pPr>
              <w:pStyle w:val="TableContents"/>
              <w:bidi w:val="0"/>
              <w:spacing w:before="0" w:after="283"/>
              <w:jc w:val="both"/>
              <w:rPr/>
            </w:pPr>
            <w:r>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5.3</w:t>
            </w:r>
          </w:p>
        </w:tc>
        <w:tc>
          <w:tcPr>
            <w:tcW w:w="9870" w:type="dxa"/>
            <w:tcBorders/>
            <w:vAlign w:val="center"/>
          </w:tcPr>
          <w:p>
            <w:pPr>
              <w:pStyle w:val="TableContents"/>
              <w:bidi w:val="0"/>
              <w:spacing w:before="0" w:after="283"/>
              <w:jc w:val="both"/>
              <w:rPr/>
            </w:pPr>
            <w:r>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6</w:t>
            </w:r>
          </w:p>
        </w:tc>
        <w:tc>
          <w:tcPr>
            <w:tcW w:w="9870" w:type="dxa"/>
            <w:tcBorders/>
            <w:vAlign w:val="center"/>
          </w:tcPr>
          <w:p>
            <w:pPr>
              <w:pStyle w:val="TableContents"/>
              <w:bidi w:val="0"/>
              <w:spacing w:before="0" w:after="283"/>
              <w:jc w:val="left"/>
              <w:rPr>
                <w:b/>
              </w:rPr>
            </w:pPr>
            <w:r>
              <w:rPr>
                <w:b/>
              </w:rPr>
              <w:t>Certificates for Shares</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6.1</w:t>
            </w:r>
          </w:p>
        </w:tc>
        <w:tc>
          <w:tcPr>
            <w:tcW w:w="9870" w:type="dxa"/>
            <w:tcBorders/>
            <w:vAlign w:val="center"/>
          </w:tcPr>
          <w:p>
            <w:pPr>
              <w:pStyle w:val="TableContents"/>
              <w:bidi w:val="0"/>
              <w:spacing w:before="0" w:after="283"/>
              <w:jc w:val="both"/>
              <w:rPr/>
            </w:pPr>
            <w:r>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share certificates shall bear legends required under the Applicable Laws, including the Securities Act All certificates surrendered to the Company for transfer shall be cancelled and, subject to the Articles, no new certificate shall be issued until the former certificate representing a like number of relevant Shares shall have been surrendered and cancelled.</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6.2</w:t>
            </w:r>
          </w:p>
        </w:tc>
        <w:tc>
          <w:tcPr>
            <w:tcW w:w="9870" w:type="dxa"/>
            <w:tcBorders/>
            <w:vAlign w:val="center"/>
          </w:tcPr>
          <w:p>
            <w:pPr>
              <w:pStyle w:val="TableContents"/>
              <w:bidi w:val="0"/>
              <w:spacing w:before="0" w:after="283"/>
              <w:jc w:val="both"/>
              <w:rPr/>
            </w:pPr>
            <w:r>
              <w:rPr/>
              <w:t>The Company shall not be bound to issue more than one certificate for Shares held jointly by more than one Person and delivery of a certificate to one joint holder shall be a sufficient delivery to all of them.</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6.3</w:t>
            </w:r>
          </w:p>
        </w:tc>
        <w:tc>
          <w:tcPr>
            <w:tcW w:w="9870" w:type="dxa"/>
            <w:tcBorders/>
            <w:vAlign w:val="center"/>
          </w:tcPr>
          <w:p>
            <w:pPr>
              <w:pStyle w:val="TableContents"/>
              <w:bidi w:val="0"/>
              <w:spacing w:before="0" w:after="283"/>
              <w:jc w:val="both"/>
              <w:rPr/>
            </w:pPr>
            <w:r>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6.4</w:t>
            </w:r>
          </w:p>
        </w:tc>
        <w:tc>
          <w:tcPr>
            <w:tcW w:w="9870" w:type="dxa"/>
            <w:tcBorders/>
            <w:vAlign w:val="center"/>
          </w:tcPr>
          <w:p>
            <w:pPr>
              <w:pStyle w:val="TableContents"/>
              <w:bidi w:val="0"/>
              <w:spacing w:before="0" w:after="283"/>
              <w:jc w:val="both"/>
              <w:rPr/>
            </w:pPr>
            <w:r>
              <w:rPr/>
              <w:t>Every share certificate sent in accordance with the Articles will be sent at the risk of the Member or other Person entitled to the certificate. The Company will not be responsible for any share certificate lost or delayed in the course of delivery.</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6.5</w:t>
            </w:r>
          </w:p>
        </w:tc>
        <w:tc>
          <w:tcPr>
            <w:tcW w:w="9870" w:type="dxa"/>
            <w:tcBorders/>
            <w:vAlign w:val="center"/>
          </w:tcPr>
          <w:p>
            <w:pPr>
              <w:pStyle w:val="TableContents"/>
              <w:bidi w:val="0"/>
              <w:spacing w:before="0" w:after="283"/>
              <w:jc w:val="both"/>
              <w:rPr/>
            </w:pPr>
            <w:r>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b/>
              </w:rPr>
            </w:pPr>
            <w:r>
              <w:rPr>
                <w:b/>
              </w:rPr>
              <w:t>7</w:t>
            </w:r>
          </w:p>
        </w:tc>
        <w:tc>
          <w:tcPr>
            <w:tcW w:w="9870" w:type="dxa"/>
            <w:tcBorders/>
            <w:vAlign w:val="center"/>
          </w:tcPr>
          <w:p>
            <w:pPr>
              <w:pStyle w:val="TableContents"/>
              <w:bidi w:val="0"/>
              <w:spacing w:before="0" w:after="283"/>
              <w:jc w:val="left"/>
              <w:rPr>
                <w:b/>
              </w:rPr>
            </w:pPr>
            <w:r>
              <w:rPr>
                <w:b/>
              </w:rPr>
              <w:t>Transfer of Shares</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7.1</w:t>
            </w:r>
          </w:p>
        </w:tc>
        <w:tc>
          <w:tcPr>
            <w:tcW w:w="9870" w:type="dxa"/>
            <w:tcBorders/>
            <w:vAlign w:val="center"/>
          </w:tcPr>
          <w:p>
            <w:pPr>
              <w:pStyle w:val="TableContents"/>
              <w:bidi w:val="0"/>
              <w:spacing w:before="0" w:after="283"/>
              <w:jc w:val="both"/>
              <w:rPr/>
            </w:pPr>
            <w:r>
              <w:rPr/>
              <w:t>Subject to the terms of the Articles,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7.2</w:t>
            </w:r>
          </w:p>
        </w:tc>
        <w:tc>
          <w:tcPr>
            <w:tcW w:w="9870" w:type="dxa"/>
            <w:tcBorders/>
            <w:vAlign w:val="center"/>
          </w:tcPr>
          <w:p>
            <w:pPr>
              <w:pStyle w:val="TableContents"/>
              <w:bidi w:val="0"/>
              <w:spacing w:before="0" w:after="283"/>
              <w:jc w:val="both"/>
              <w:rPr/>
            </w:pPr>
            <w:r>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b/>
              </w:rPr>
            </w:pPr>
            <w:r>
              <w:rPr>
                <w:b/>
              </w:rPr>
              <w:t>8</w:t>
            </w:r>
          </w:p>
        </w:tc>
        <w:tc>
          <w:tcPr>
            <w:tcW w:w="9870" w:type="dxa"/>
            <w:tcBorders/>
            <w:vAlign w:val="center"/>
          </w:tcPr>
          <w:p>
            <w:pPr>
              <w:pStyle w:val="TableContents"/>
              <w:bidi w:val="0"/>
              <w:spacing w:before="0" w:after="283"/>
              <w:jc w:val="left"/>
              <w:rPr>
                <w:b/>
              </w:rPr>
            </w:pPr>
            <w:r>
              <w:rPr>
                <w:b/>
              </w:rPr>
              <w:t>Redemption, Repurchase and Surrender of Shares</w:t>
            </w:r>
          </w:p>
        </w:tc>
      </w:tr>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8.1</w:t>
            </w:r>
          </w:p>
        </w:tc>
        <w:tc>
          <w:tcPr>
            <w:tcW w:w="9870" w:type="dxa"/>
            <w:tcBorders/>
            <w:vAlign w:val="center"/>
          </w:tcPr>
          <w:p>
            <w:pPr>
              <w:pStyle w:val="TableContents"/>
              <w:bidi w:val="0"/>
              <w:spacing w:before="0" w:after="283"/>
              <w:jc w:val="both"/>
              <w:rPr/>
            </w:pPr>
            <w:r>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8.2</w:t>
            </w:r>
          </w:p>
        </w:tc>
        <w:tc>
          <w:tcPr>
            <w:tcW w:w="9750" w:type="dxa"/>
            <w:tcBorders/>
            <w:vAlign w:val="center"/>
          </w:tcPr>
          <w:p>
            <w:pPr>
              <w:pStyle w:val="TableContents"/>
              <w:bidi w:val="0"/>
              <w:spacing w:before="0" w:after="283"/>
              <w:jc w:val="both"/>
              <w:rPr/>
            </w:pPr>
            <w:r>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8.3</w:t>
            </w:r>
          </w:p>
        </w:tc>
        <w:tc>
          <w:tcPr>
            <w:tcW w:w="9750" w:type="dxa"/>
            <w:tcBorders/>
            <w:vAlign w:val="center"/>
          </w:tcPr>
          <w:p>
            <w:pPr>
              <w:pStyle w:val="TableContents"/>
              <w:bidi w:val="0"/>
              <w:spacing w:before="0" w:after="283"/>
              <w:jc w:val="both"/>
              <w:rPr/>
            </w:pPr>
            <w:r>
              <w:rPr/>
              <w:t>The Company may make a payment in respect of the redemption or purchase of its own Shares in any manner permitted by the Statute, including out of capital.</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8.4</w:t>
            </w:r>
          </w:p>
        </w:tc>
        <w:tc>
          <w:tcPr>
            <w:tcW w:w="9750" w:type="dxa"/>
            <w:tcBorders/>
            <w:vAlign w:val="center"/>
          </w:tcPr>
          <w:p>
            <w:pPr>
              <w:pStyle w:val="TableContents"/>
              <w:bidi w:val="0"/>
              <w:spacing w:before="0" w:after="283"/>
              <w:jc w:val="both"/>
              <w:rPr/>
            </w:pPr>
            <w:r>
              <w:rPr/>
              <w:t>The Directors may accept the surrender for no consideration of any fully paid Share.</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b/>
              </w:rPr>
            </w:pPr>
            <w:r>
              <w:rPr>
                <w:b/>
              </w:rPr>
              <w:t>9</w:t>
            </w:r>
          </w:p>
        </w:tc>
        <w:tc>
          <w:tcPr>
            <w:tcW w:w="9750" w:type="dxa"/>
            <w:tcBorders/>
            <w:vAlign w:val="center"/>
          </w:tcPr>
          <w:p>
            <w:pPr>
              <w:pStyle w:val="TableContents"/>
              <w:bidi w:val="0"/>
              <w:spacing w:before="0" w:after="283"/>
              <w:jc w:val="left"/>
              <w:rPr>
                <w:b/>
              </w:rPr>
            </w:pPr>
            <w:r>
              <w:rPr>
                <w:b/>
              </w:rPr>
              <w:t>Treasury Shares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9.1</w:t>
            </w:r>
          </w:p>
        </w:tc>
        <w:tc>
          <w:tcPr>
            <w:tcW w:w="9750" w:type="dxa"/>
            <w:tcBorders/>
            <w:vAlign w:val="center"/>
          </w:tcPr>
          <w:p>
            <w:pPr>
              <w:pStyle w:val="TableContents"/>
              <w:bidi w:val="0"/>
              <w:spacing w:before="0" w:after="283"/>
              <w:jc w:val="both"/>
              <w:rPr/>
            </w:pPr>
            <w:r>
              <w:rPr/>
              <w:t>The Directors may, prior to the purchase, redemption or surrender of any Share, determine that such Share shall be held as a Treasury Share.</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9.2</w:t>
            </w:r>
          </w:p>
        </w:tc>
        <w:tc>
          <w:tcPr>
            <w:tcW w:w="9750" w:type="dxa"/>
            <w:tcBorders/>
            <w:vAlign w:val="center"/>
          </w:tcPr>
          <w:p>
            <w:pPr>
              <w:pStyle w:val="TableContents"/>
              <w:bidi w:val="0"/>
              <w:spacing w:before="0" w:after="283"/>
              <w:jc w:val="both"/>
              <w:rPr/>
            </w:pPr>
            <w:r>
              <w:rPr/>
              <w:t>The Directors may determine to cancel a Treasury Share or transfer a Treasury Share on such terms as they think proper (including, without limitation, for nil consideration).</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b/>
              </w:rPr>
            </w:pPr>
            <w:r>
              <w:rPr>
                <w:b/>
              </w:rPr>
              <w:t>10</w:t>
            </w:r>
          </w:p>
        </w:tc>
        <w:tc>
          <w:tcPr>
            <w:tcW w:w="9750" w:type="dxa"/>
            <w:tcBorders/>
            <w:vAlign w:val="center"/>
          </w:tcPr>
          <w:p>
            <w:pPr>
              <w:pStyle w:val="TableContents"/>
              <w:bidi w:val="0"/>
              <w:spacing w:before="0" w:after="283"/>
              <w:jc w:val="both"/>
              <w:rPr>
                <w:b/>
              </w:rPr>
            </w:pPr>
            <w:r>
              <w:rPr>
                <w:b/>
              </w:rPr>
              <w:t>Variation of Rights of Shares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10.1</w:t>
            </w:r>
          </w:p>
        </w:tc>
        <w:tc>
          <w:tcPr>
            <w:tcW w:w="9750" w:type="dxa"/>
            <w:tcBorders/>
            <w:vAlign w:val="center"/>
          </w:tcPr>
          <w:p>
            <w:pPr>
              <w:pStyle w:val="TableContents"/>
              <w:bidi w:val="0"/>
              <w:spacing w:before="0" w:after="283"/>
              <w:jc w:val="both"/>
              <w:rPr/>
            </w:pPr>
            <w:r>
              <w:rPr/>
              <w:t>Subject to Articles 3.1 and 17.3,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i/>
              </w:rPr>
              <w:t>mutatis mutandis</w:t>
            </w:r>
            <w:r>
              <w:rPr/>
              <w:t>, except that the necessary quorum shall be one Person holding or representing by proxy at least one third of the issued Shares of the class and that any holder of Shares of the class present in Person or by proxy may demand a poll.</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10.2</w:t>
            </w:r>
          </w:p>
        </w:tc>
        <w:tc>
          <w:tcPr>
            <w:tcW w:w="9750" w:type="dxa"/>
            <w:tcBorders/>
            <w:vAlign w:val="center"/>
          </w:tcPr>
          <w:p>
            <w:pPr>
              <w:pStyle w:val="TableContents"/>
              <w:bidi w:val="0"/>
              <w:spacing w:before="0" w:after="283"/>
              <w:jc w:val="both"/>
              <w:rPr/>
            </w:pPr>
            <w:r>
              <w:rPr/>
              <w:t>The provisions of these Articles relating to general meetings shall apply to every such general meeting of the holders of one class or series of shares, except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275"/>
        <w:gridCol w:w="85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8555" w:type="dxa"/>
            <w:tcBorders/>
            <w:vAlign w:val="center"/>
          </w:tcPr>
          <w:p>
            <w:pPr>
              <w:pStyle w:val="TableContents"/>
              <w:bidi w:val="0"/>
              <w:spacing w:before="0" w:after="283"/>
              <w:jc w:val="both"/>
              <w:rPr/>
            </w:pPr>
            <w:r>
              <w:rPr/>
              <w:t>separate general meetings of the holders of a call or series of shares may be called only 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(i)</w:t>
            </w:r>
          </w:p>
        </w:tc>
        <w:tc>
          <w:tcPr>
            <w:tcW w:w="9857" w:type="dxa"/>
            <w:tcBorders/>
            <w:vAlign w:val="center"/>
          </w:tcPr>
          <w:p>
            <w:pPr>
              <w:pStyle w:val="TableContents"/>
              <w:bidi w:val="0"/>
              <w:spacing w:before="0" w:after="283"/>
              <w:jc w:val="left"/>
              <w:rPr/>
            </w:pPr>
            <w:r>
              <w:rPr/>
              <w:t>the Chairman, if any; and</w:t>
            </w:r>
          </w:p>
        </w:tc>
      </w:tr>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98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(ii)</w:t>
            </w:r>
          </w:p>
        </w:tc>
        <w:tc>
          <w:tcPr>
            <w:tcW w:w="9857" w:type="dxa"/>
            <w:tcBorders/>
            <w:vAlign w:val="center"/>
          </w:tcPr>
          <w:p>
            <w:pPr>
              <w:pStyle w:val="TableContents"/>
              <w:bidi w:val="0"/>
              <w:spacing w:before="0" w:after="283"/>
              <w:jc w:val="left"/>
              <w:rPr/>
            </w:pPr>
            <w:r>
              <w:rPr/>
              <w:t>a majority of all of the Directors (unless otherwise specifically provided by the terms of issue of the shares of such class or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except as set forth in clause (a) above, nothing in this Article 10 shall be deemed to give any Member the right to call a class or series meeting; and</w:t>
            </w:r>
          </w:p>
        </w:tc>
      </w:tr>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8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(c)</w:t>
            </w:r>
          </w:p>
        </w:tc>
        <w:tc>
          <w:tcPr>
            <w:tcW w:w="9886" w:type="dxa"/>
            <w:tcBorders/>
            <w:vAlign w:val="center"/>
          </w:tcPr>
          <w:p>
            <w:pPr>
              <w:pStyle w:val="TableContents"/>
              <w:bidi w:val="0"/>
              <w:spacing w:before="0" w:after="283"/>
              <w:jc w:val="both"/>
              <w:rPr/>
            </w:pPr>
            <w:r>
              <w:rPr/>
              <w:t>the necessary quorum shall be one or more Persons holding or representing by proxy at least one-third of the issues shares of the class or series and that any holder of shares of the class or series present in person or by proxy may demand a poll.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10.3</w:t>
            </w:r>
          </w:p>
        </w:tc>
        <w:tc>
          <w:tcPr>
            <w:tcW w:w="9750" w:type="dxa"/>
            <w:tcBorders/>
            <w:vAlign w:val="center"/>
          </w:tcPr>
          <w:p>
            <w:pPr>
              <w:pStyle w:val="TableContents"/>
              <w:bidi w:val="0"/>
              <w:spacing w:before="0" w:after="283"/>
              <w:jc w:val="both"/>
              <w:rPr/>
            </w:pPr>
            <w:r>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i/>
              </w:rPr>
              <w:t>pari passu</w:t>
            </w:r>
            <w:r>
              <w:rPr/>
              <w:t> therewith or Shares issued with preferred or other rights.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b/>
              </w:rPr>
            </w:pPr>
            <w:r>
              <w:rPr>
                <w:b/>
              </w:rPr>
              <w:t>11</w:t>
            </w:r>
          </w:p>
        </w:tc>
        <w:tc>
          <w:tcPr>
            <w:tcW w:w="9750" w:type="dxa"/>
            <w:tcBorders/>
            <w:vAlign w:val="center"/>
          </w:tcPr>
          <w:p>
            <w:pPr>
              <w:pStyle w:val="TableContents"/>
              <w:bidi w:val="0"/>
              <w:spacing w:before="0" w:after="283"/>
              <w:jc w:val="left"/>
              <w:rPr>
                <w:b/>
              </w:rPr>
            </w:pPr>
            <w:r>
              <w:rPr>
                <w:b/>
              </w:rPr>
              <w:t>Commission on Sale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75"/>
        <w:gridCol w:w="2720"/>
      </w:tblGrid>
      <w:tr>
        <w:trPr/>
        <w:tc>
          <w:tcPr>
            <w:tcW w:w="275" w:type="dxa"/>
            <w:tcBorders/>
            <w:vAlign w:val="center"/>
          </w:tcPr>
          <w:p>
            <w:pPr>
              <w:pStyle w:val="TableContents"/>
              <w:bidi w:val="0"/>
              <w:spacing w:before="0" w:after="283"/>
              <w:jc w:val="left"/>
              <w:rPr>
                <w:b/>
              </w:rPr>
            </w:pPr>
            <w:r>
              <w:rPr>
                <w:b/>
              </w:rPr>
              <w:t>12</w:t>
            </w:r>
          </w:p>
        </w:tc>
        <w:tc>
          <w:tcPr>
            <w:tcW w:w="2720" w:type="dxa"/>
            <w:tcBorders/>
            <w:vAlign w:val="center"/>
          </w:tcPr>
          <w:p>
            <w:pPr>
              <w:pStyle w:val="TableContents"/>
              <w:bidi w:val="0"/>
              <w:spacing w:before="0" w:after="283"/>
              <w:jc w:val="left"/>
              <w:rPr>
                <w:b/>
              </w:rPr>
            </w:pPr>
            <w:r>
              <w:rPr>
                <w:b/>
              </w:rPr>
              <w:t>Non Recognition of Trusts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upon any trust (other than any trust recognized as a Permitted Entity or Permitted Transferee). 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13</w:t>
            </w:r>
          </w:p>
        </w:tc>
        <w:tc>
          <w:tcPr>
            <w:tcW w:w="9750" w:type="dxa"/>
            <w:tcBorders/>
            <w:vAlign w:val="center"/>
          </w:tcPr>
          <w:p>
            <w:pPr>
              <w:pStyle w:val="TableContents"/>
              <w:bidi w:val="0"/>
              <w:spacing w:before="0" w:after="283"/>
              <w:jc w:val="left"/>
              <w:rPr>
                <w:b/>
              </w:rPr>
            </w:pPr>
            <w:r>
              <w:rPr>
                <w:b/>
              </w:rPr>
              <w:t>Lien on Shares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13.1</w:t>
            </w:r>
          </w:p>
        </w:tc>
        <w:tc>
          <w:tcPr>
            <w:tcW w:w="9750" w:type="dxa"/>
            <w:tcBorders/>
            <w:vAlign w:val="center"/>
          </w:tcPr>
          <w:p>
            <w:pPr>
              <w:pStyle w:val="TableContents"/>
              <w:bidi w:val="0"/>
              <w:spacing w:before="0" w:after="283"/>
              <w:jc w:val="both"/>
              <w:rPr/>
            </w:pPr>
            <w:r>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13.2</w:t>
            </w:r>
          </w:p>
        </w:tc>
        <w:tc>
          <w:tcPr>
            <w:tcW w:w="9750" w:type="dxa"/>
            <w:tcBorders/>
            <w:vAlign w:val="center"/>
          </w:tcPr>
          <w:p>
            <w:pPr>
              <w:pStyle w:val="TableContents"/>
              <w:bidi w:val="0"/>
              <w:spacing w:before="0" w:after="283"/>
              <w:jc w:val="both"/>
              <w:rPr/>
            </w:pPr>
            <w:r>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13.3</w:t>
            </w:r>
          </w:p>
        </w:tc>
        <w:tc>
          <w:tcPr>
            <w:tcW w:w="9750" w:type="dxa"/>
            <w:tcBorders/>
            <w:vAlign w:val="center"/>
          </w:tcPr>
          <w:p>
            <w:pPr>
              <w:pStyle w:val="TableContents"/>
              <w:bidi w:val="0"/>
              <w:spacing w:before="0" w:after="283"/>
              <w:jc w:val="both"/>
              <w:rPr/>
            </w:pPr>
            <w:r>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13.4</w:t>
            </w:r>
          </w:p>
        </w:tc>
        <w:tc>
          <w:tcPr>
            <w:tcW w:w="9750" w:type="dxa"/>
            <w:tcBorders/>
            <w:vAlign w:val="center"/>
          </w:tcPr>
          <w:p>
            <w:pPr>
              <w:pStyle w:val="TableContents"/>
              <w:bidi w:val="0"/>
              <w:spacing w:before="0" w:after="283"/>
              <w:jc w:val="both"/>
              <w:rPr/>
            </w:pPr>
            <w:r>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b/>
              </w:rPr>
            </w:pPr>
            <w:r>
              <w:rPr>
                <w:b/>
              </w:rPr>
              <w:t>14</w:t>
            </w:r>
          </w:p>
        </w:tc>
        <w:tc>
          <w:tcPr>
            <w:tcW w:w="9750" w:type="dxa"/>
            <w:tcBorders/>
            <w:vAlign w:val="center"/>
          </w:tcPr>
          <w:p>
            <w:pPr>
              <w:pStyle w:val="TableContents"/>
              <w:bidi w:val="0"/>
              <w:spacing w:before="0" w:after="283"/>
              <w:jc w:val="left"/>
              <w:rPr>
                <w:b/>
              </w:rPr>
            </w:pPr>
            <w:r>
              <w:rPr>
                <w:b/>
              </w:rPr>
              <w:t>Call on Shares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14.1</w:t>
            </w:r>
          </w:p>
        </w:tc>
        <w:tc>
          <w:tcPr>
            <w:tcW w:w="9750" w:type="dxa"/>
            <w:tcBorders/>
            <w:vAlign w:val="center"/>
          </w:tcPr>
          <w:p>
            <w:pPr>
              <w:pStyle w:val="TableContents"/>
              <w:bidi w:val="0"/>
              <w:spacing w:before="0" w:after="283"/>
              <w:jc w:val="both"/>
              <w:rPr/>
            </w:pPr>
            <w:r>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14.2</w:t>
            </w:r>
          </w:p>
        </w:tc>
        <w:tc>
          <w:tcPr>
            <w:tcW w:w="9750" w:type="dxa"/>
            <w:tcBorders/>
            <w:vAlign w:val="center"/>
          </w:tcPr>
          <w:p>
            <w:pPr>
              <w:pStyle w:val="TableContents"/>
              <w:bidi w:val="0"/>
              <w:spacing w:before="0" w:after="283"/>
              <w:jc w:val="both"/>
              <w:rPr/>
            </w:pPr>
            <w:r>
              <w:rPr/>
              <w:t>A call shall be deemed to have been made at the time when the resolution of the Directors authorising such call was passed.</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14.3</w:t>
            </w:r>
          </w:p>
        </w:tc>
        <w:tc>
          <w:tcPr>
            <w:tcW w:w="9750" w:type="dxa"/>
            <w:tcBorders/>
            <w:vAlign w:val="center"/>
          </w:tcPr>
          <w:p>
            <w:pPr>
              <w:pStyle w:val="TableContents"/>
              <w:bidi w:val="0"/>
              <w:spacing w:before="0" w:after="283"/>
              <w:jc w:val="left"/>
              <w:rPr/>
            </w:pPr>
            <w:r>
              <w:rPr/>
              <w:t>The joint holders of a Share shall be jointly and severally liable to pay all calls in respect thereof.</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14.4</w:t>
            </w:r>
          </w:p>
        </w:tc>
        <w:tc>
          <w:tcPr>
            <w:tcW w:w="9750" w:type="dxa"/>
            <w:tcBorders/>
            <w:vAlign w:val="center"/>
          </w:tcPr>
          <w:p>
            <w:pPr>
              <w:pStyle w:val="TableContents"/>
              <w:bidi w:val="0"/>
              <w:spacing w:before="0" w:after="283"/>
              <w:jc w:val="both"/>
              <w:rPr/>
            </w:pPr>
            <w:r>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14.5</w:t>
            </w:r>
          </w:p>
        </w:tc>
        <w:tc>
          <w:tcPr>
            <w:tcW w:w="9750" w:type="dxa"/>
            <w:tcBorders/>
            <w:vAlign w:val="center"/>
          </w:tcPr>
          <w:p>
            <w:pPr>
              <w:pStyle w:val="TableContents"/>
              <w:bidi w:val="0"/>
              <w:spacing w:before="0" w:after="283"/>
              <w:jc w:val="both"/>
              <w:rPr/>
            </w:pPr>
            <w:r>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14.6</w:t>
            </w:r>
          </w:p>
        </w:tc>
        <w:tc>
          <w:tcPr>
            <w:tcW w:w="9750" w:type="dxa"/>
            <w:tcBorders/>
            <w:vAlign w:val="center"/>
          </w:tcPr>
          <w:p>
            <w:pPr>
              <w:pStyle w:val="TableContents"/>
              <w:bidi w:val="0"/>
              <w:spacing w:before="0" w:after="283"/>
              <w:jc w:val="both"/>
              <w:rPr/>
            </w:pPr>
            <w:r>
              <w:rPr/>
              <w:t>The Directors may issue Shares with different terms as to the amount and times of payment of calls, or the interest to be paid.</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14.7</w:t>
            </w:r>
          </w:p>
        </w:tc>
        <w:tc>
          <w:tcPr>
            <w:tcW w:w="9750" w:type="dxa"/>
            <w:tcBorders/>
            <w:vAlign w:val="center"/>
          </w:tcPr>
          <w:p>
            <w:pPr>
              <w:pStyle w:val="TableContents"/>
              <w:bidi w:val="0"/>
              <w:spacing w:before="0" w:after="283"/>
              <w:jc w:val="both"/>
              <w:rPr/>
            </w:pPr>
            <w:r>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14.8</w:t>
            </w:r>
          </w:p>
        </w:tc>
        <w:tc>
          <w:tcPr>
            <w:tcW w:w="9750" w:type="dxa"/>
            <w:tcBorders/>
            <w:vAlign w:val="center"/>
          </w:tcPr>
          <w:p>
            <w:pPr>
              <w:pStyle w:val="TableContents"/>
              <w:bidi w:val="0"/>
              <w:spacing w:before="0" w:after="283"/>
              <w:jc w:val="both"/>
              <w:rPr/>
            </w:pPr>
            <w:r>
              <w:rPr/>
              <w:t>No such amount paid in advance of calls shall entitle the Member paying such amount to any portion of a Dividend or other distribution payable in respect of any period prior to the date upon which such amount would, but for such payment, become payable.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b/>
              </w:rPr>
            </w:pPr>
            <w:r>
              <w:rPr>
                <w:b/>
              </w:rPr>
              <w:t>15</w:t>
            </w:r>
          </w:p>
        </w:tc>
        <w:tc>
          <w:tcPr>
            <w:tcW w:w="9750" w:type="dxa"/>
            <w:tcBorders/>
            <w:vAlign w:val="center"/>
          </w:tcPr>
          <w:p>
            <w:pPr>
              <w:pStyle w:val="TableContents"/>
              <w:bidi w:val="0"/>
              <w:spacing w:before="0" w:after="283"/>
              <w:jc w:val="left"/>
              <w:rPr>
                <w:b/>
              </w:rPr>
            </w:pPr>
            <w:r>
              <w:rPr>
                <w:b/>
              </w:rPr>
              <w:t>Forfeiture of Shares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15.1</w:t>
            </w:r>
          </w:p>
        </w:tc>
        <w:tc>
          <w:tcPr>
            <w:tcW w:w="9750" w:type="dxa"/>
            <w:tcBorders/>
            <w:vAlign w:val="center"/>
          </w:tcPr>
          <w:p>
            <w:pPr>
              <w:pStyle w:val="TableContents"/>
              <w:bidi w:val="0"/>
              <w:spacing w:before="0" w:after="283"/>
              <w:jc w:val="both"/>
              <w:rPr/>
            </w:pPr>
            <w:r>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15.2</w:t>
            </w:r>
          </w:p>
        </w:tc>
        <w:tc>
          <w:tcPr>
            <w:tcW w:w="9750" w:type="dxa"/>
            <w:tcBorders/>
            <w:vAlign w:val="center"/>
          </w:tcPr>
          <w:p>
            <w:pPr>
              <w:pStyle w:val="TableContents"/>
              <w:bidi w:val="0"/>
              <w:spacing w:before="0" w:after="283"/>
              <w:jc w:val="both"/>
              <w:rPr/>
            </w:pPr>
            <w:r>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15.3</w:t>
            </w:r>
          </w:p>
        </w:tc>
        <w:tc>
          <w:tcPr>
            <w:tcW w:w="9750" w:type="dxa"/>
            <w:tcBorders/>
            <w:vAlign w:val="center"/>
          </w:tcPr>
          <w:p>
            <w:pPr>
              <w:pStyle w:val="TableContents"/>
              <w:bidi w:val="0"/>
              <w:spacing w:before="0" w:after="283"/>
              <w:jc w:val="both"/>
              <w:rPr/>
            </w:pPr>
            <w:r>
              <w:rPr/>
              <w:t>A forfeited Share (other than a Class B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15.4</w:t>
            </w:r>
          </w:p>
        </w:tc>
        <w:tc>
          <w:tcPr>
            <w:tcW w:w="9750" w:type="dxa"/>
            <w:tcBorders/>
            <w:vAlign w:val="center"/>
          </w:tcPr>
          <w:p>
            <w:pPr>
              <w:pStyle w:val="TableContents"/>
              <w:bidi w:val="0"/>
              <w:spacing w:before="0" w:after="283"/>
              <w:jc w:val="both"/>
              <w:rPr/>
            </w:pPr>
            <w:r>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15.5</w:t>
            </w:r>
          </w:p>
        </w:tc>
        <w:tc>
          <w:tcPr>
            <w:tcW w:w="9750" w:type="dxa"/>
            <w:tcBorders/>
            <w:vAlign w:val="center"/>
          </w:tcPr>
          <w:p>
            <w:pPr>
              <w:pStyle w:val="TableContents"/>
              <w:bidi w:val="0"/>
              <w:spacing w:before="0" w:after="283"/>
              <w:jc w:val="both"/>
              <w:rPr/>
            </w:pPr>
            <w:r>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15.6</w:t>
            </w:r>
          </w:p>
        </w:tc>
        <w:tc>
          <w:tcPr>
            <w:tcW w:w="9750" w:type="dxa"/>
            <w:tcBorders/>
            <w:vAlign w:val="center"/>
          </w:tcPr>
          <w:p>
            <w:pPr>
              <w:pStyle w:val="TableContents"/>
              <w:bidi w:val="0"/>
              <w:spacing w:before="0" w:after="283"/>
              <w:jc w:val="both"/>
              <w:rPr/>
            </w:pPr>
            <w:r>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b/>
              </w:rPr>
            </w:pPr>
            <w:r>
              <w:rPr>
                <w:b/>
              </w:rPr>
              <w:t>16</w:t>
            </w:r>
          </w:p>
        </w:tc>
        <w:tc>
          <w:tcPr>
            <w:tcW w:w="9750" w:type="dxa"/>
            <w:tcBorders/>
            <w:vAlign w:val="center"/>
          </w:tcPr>
          <w:p>
            <w:pPr>
              <w:pStyle w:val="TableContents"/>
              <w:bidi w:val="0"/>
              <w:spacing w:before="0" w:after="283"/>
              <w:jc w:val="left"/>
              <w:rPr>
                <w:b/>
              </w:rPr>
            </w:pPr>
            <w:r>
              <w:rPr>
                <w:b/>
              </w:rPr>
              <w:t>Transmission of Shares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16.1</w:t>
            </w:r>
          </w:p>
        </w:tc>
        <w:tc>
          <w:tcPr>
            <w:tcW w:w="9750" w:type="dxa"/>
            <w:tcBorders/>
            <w:vAlign w:val="center"/>
          </w:tcPr>
          <w:p>
            <w:pPr>
              <w:pStyle w:val="TableContents"/>
              <w:bidi w:val="0"/>
              <w:spacing w:before="0" w:after="283"/>
              <w:jc w:val="both"/>
              <w:rPr/>
            </w:pPr>
            <w:r>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16.2</w:t>
            </w:r>
          </w:p>
        </w:tc>
        <w:tc>
          <w:tcPr>
            <w:tcW w:w="9750" w:type="dxa"/>
            <w:tcBorders/>
            <w:vAlign w:val="center"/>
          </w:tcPr>
          <w:p>
            <w:pPr>
              <w:pStyle w:val="TableContents"/>
              <w:bidi w:val="0"/>
              <w:spacing w:before="0" w:after="283"/>
              <w:jc w:val="both"/>
              <w:rPr/>
            </w:pPr>
            <w:r>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16.3</w:t>
            </w:r>
          </w:p>
        </w:tc>
        <w:tc>
          <w:tcPr>
            <w:tcW w:w="9750" w:type="dxa"/>
            <w:tcBorders/>
            <w:vAlign w:val="center"/>
          </w:tcPr>
          <w:p>
            <w:pPr>
              <w:pStyle w:val="TableContents"/>
              <w:bidi w:val="0"/>
              <w:spacing w:before="0" w:after="283"/>
              <w:jc w:val="both"/>
              <w:rPr/>
            </w:pPr>
            <w:r>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b/>
              </w:rPr>
            </w:pPr>
            <w:r>
              <w:rPr>
                <w:b/>
              </w:rPr>
              <w:t>17</w:t>
            </w:r>
          </w:p>
        </w:tc>
        <w:tc>
          <w:tcPr>
            <w:tcW w:w="9750" w:type="dxa"/>
            <w:tcBorders/>
            <w:vAlign w:val="center"/>
          </w:tcPr>
          <w:p>
            <w:pPr>
              <w:pStyle w:val="TableContents"/>
              <w:bidi w:val="0"/>
              <w:spacing w:before="0" w:after="283"/>
              <w:jc w:val="left"/>
              <w:rPr>
                <w:b/>
              </w:rPr>
            </w:pPr>
            <w:r>
              <w:rPr>
                <w:b/>
              </w:rPr>
              <w:t>Rights and Restrictions Attaching to Ordinary Shares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17.1</w:t>
            </w:r>
          </w:p>
        </w:tc>
        <w:tc>
          <w:tcPr>
            <w:tcW w:w="9750" w:type="dxa"/>
            <w:tcBorders/>
            <w:vAlign w:val="center"/>
          </w:tcPr>
          <w:p>
            <w:pPr>
              <w:pStyle w:val="TableContents"/>
              <w:bidi w:val="0"/>
              <w:spacing w:before="0" w:after="283"/>
              <w:jc w:val="both"/>
              <w:rPr/>
            </w:pPr>
            <w:r>
              <w:rPr/>
              <w:t>Except as otherwise included in these Articles (including Articles 17.3 and 23.1), the rights attaching to the Class A Shares and Class B Shares shall have the same rights and powers, and rank </w:t>
            </w:r>
            <w:r>
              <w:rPr>
                <w:i/>
              </w:rPr>
              <w:t>pari passu</w:t>
            </w:r>
            <w:r>
              <w:rPr/>
              <w:t> in all respects (including as to dividends, distributions, and upon the occurrence of any liquidation or winding up of the Company), share ratably and be identical in all respects as to all matters, unless different treatment of the shares of each such class is approved by the affirmative vote of the holders of the Class A Shares and the Class B Shares, each voting exclusively and as a separate class.</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17.2</w:t>
            </w:r>
          </w:p>
        </w:tc>
        <w:tc>
          <w:tcPr>
            <w:tcW w:w="9750" w:type="dxa"/>
            <w:tcBorders/>
            <w:vAlign w:val="center"/>
          </w:tcPr>
          <w:p>
            <w:pPr>
              <w:pStyle w:val="TableContents"/>
              <w:bidi w:val="0"/>
              <w:spacing w:before="0" w:after="283"/>
              <w:jc w:val="both"/>
              <w:rPr/>
            </w:pPr>
            <w:r>
              <w:rPr/>
              <w:t>Holders of Ordinary Shares have the right to receive notice of, attend, speak and vote at general meetings of the Company. Except as set forth in these Articles (including Articles 17.3, 17.4 and 23.1), holders of Class A Shares and Class B Shares shall at all times vote together as one class on all matters submitted to a vote for Members’ consent. On all matters subject to a vote of the Members, Ordinary Shares shall be entitled to the voting rights as set forth in Article 23.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17.3</w:t>
            </w:r>
          </w:p>
        </w:tc>
        <w:tc>
          <w:tcPr>
            <w:tcW w:w="9750" w:type="dxa"/>
            <w:tcBorders/>
            <w:vAlign w:val="center"/>
          </w:tcPr>
          <w:p>
            <w:pPr>
              <w:pStyle w:val="TableContents"/>
              <w:bidi w:val="0"/>
              <w:spacing w:before="0" w:after="283"/>
              <w:jc w:val="both"/>
              <w:rPr/>
            </w:pPr>
            <w:r>
              <w:rPr/>
              <w:t>In addition to any rights provided by applicable law or otherwise set forth in these Articles, the Company shall not, without the approval by vote or written consent of the holders of a majority of the voting power of the Class B Shares, voting exclusively and as a separate class, directly or indirectly, or whether by amendment or through merger, recapitalization, consolidation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(a)</w:t>
            </w:r>
          </w:p>
        </w:tc>
        <w:tc>
          <w:tcPr>
            <w:tcW w:w="9888" w:type="dxa"/>
            <w:tcBorders/>
            <w:vAlign w:val="center"/>
          </w:tcPr>
          <w:p>
            <w:pPr>
              <w:pStyle w:val="TableContents"/>
              <w:bidi w:val="0"/>
              <w:spacing w:before="0" w:after="283"/>
              <w:jc w:val="both"/>
              <w:rPr/>
            </w:pPr>
            <w:r>
              <w:rPr/>
              <w:t>increase the number of authorized Class B Shares;</w:t>
            </w:r>
          </w:p>
        </w:tc>
      </w:tr>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(b)</w:t>
            </w:r>
          </w:p>
        </w:tc>
        <w:tc>
          <w:tcPr>
            <w:tcW w:w="9888" w:type="dxa"/>
            <w:tcBorders/>
            <w:vAlign w:val="center"/>
          </w:tcPr>
          <w:p>
            <w:pPr>
              <w:pStyle w:val="TableContents"/>
              <w:bidi w:val="0"/>
              <w:spacing w:before="0" w:after="283"/>
              <w:jc w:val="both"/>
              <w:rPr/>
            </w:pPr>
            <w:r>
              <w:rPr/>
              <w:t>issue any Class B Shares or securities convertible into or exchangeable for Class B Shares, other than to Sponsor or his Affiliates;</w:t>
            </w:r>
          </w:p>
        </w:tc>
      </w:tr>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(c)</w:t>
            </w:r>
          </w:p>
        </w:tc>
        <w:tc>
          <w:tcPr>
            <w:tcW w:w="9888" w:type="dxa"/>
            <w:tcBorders/>
            <w:vAlign w:val="center"/>
          </w:tcPr>
          <w:p>
            <w:pPr>
              <w:pStyle w:val="TableContents"/>
              <w:bidi w:val="0"/>
              <w:spacing w:before="0" w:after="283"/>
              <w:jc w:val="both"/>
              <w:rPr/>
            </w:pPr>
            <w:r>
              <w:rPr/>
              <w:t>create, authorize, issue, or reclassify into, any preference shares or any shares in the capital of the Company that carry more than one (1) vote per share;</w:t>
            </w:r>
          </w:p>
        </w:tc>
      </w:tr>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(d)</w:t>
            </w:r>
          </w:p>
        </w:tc>
        <w:tc>
          <w:tcPr>
            <w:tcW w:w="9888" w:type="dxa"/>
            <w:tcBorders/>
            <w:vAlign w:val="center"/>
          </w:tcPr>
          <w:p>
            <w:pPr>
              <w:pStyle w:val="TableContents"/>
              <w:bidi w:val="0"/>
              <w:spacing w:before="0" w:after="283"/>
              <w:jc w:val="both"/>
              <w:rPr/>
            </w:pPr>
            <w:r>
              <w:rPr/>
              <w:t>reclassify any Class B Shares into any other class of shares or consolidate or combine any Class B Shares without proportionately increasing the number of votes per Class B Share; or</w:t>
            </w:r>
          </w:p>
        </w:tc>
      </w:tr>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(e)</w:t>
            </w:r>
          </w:p>
        </w:tc>
        <w:tc>
          <w:tcPr>
            <w:tcW w:w="9888" w:type="dxa"/>
            <w:tcBorders/>
            <w:vAlign w:val="center"/>
          </w:tcPr>
          <w:p>
            <w:pPr>
              <w:pStyle w:val="TableContents"/>
              <w:bidi w:val="0"/>
              <w:spacing w:before="0" w:after="283"/>
              <w:jc w:val="both"/>
              <w:rPr/>
            </w:pPr>
            <w:r>
              <w:rPr/>
              <w:t>amend, restate, waive, adopt any provision inconsistent with or otherwise vary or alter any provision of the Memorandum or these Articles relating to the voting, conversion or other rights, powers, preferences, privileges or restrictions of the Class B Shares.</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455"/>
        <w:gridCol w:w="5270"/>
      </w:tblGrid>
      <w:tr>
        <w:trPr/>
        <w:tc>
          <w:tcPr>
            <w:tcW w:w="455" w:type="dxa"/>
            <w:tcBorders/>
            <w:vAlign w:val="center"/>
          </w:tcPr>
          <w:p>
            <w:pPr>
              <w:pStyle w:val="TableContents"/>
              <w:bidi w:val="0"/>
              <w:spacing w:before="0" w:after="283"/>
              <w:jc w:val="left"/>
              <w:rPr/>
            </w:pPr>
            <w:r>
              <w:rPr/>
              <w:t>17.4</w:t>
            </w:r>
          </w:p>
        </w:tc>
        <w:tc>
          <w:tcPr>
            <w:tcW w:w="5270" w:type="dxa"/>
            <w:tcBorders/>
            <w:vAlign w:val="center"/>
          </w:tcPr>
          <w:p>
            <w:pPr>
              <w:pStyle w:val="TableContents"/>
              <w:bidi w:val="0"/>
              <w:spacing w:before="0" w:after="283"/>
              <w:jc w:val="left"/>
              <w:rPr/>
            </w:pPr>
            <w:r>
              <w:rPr/>
              <w:t>Optional and Automatic Conversion of Class B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each Class B Share is convertible into one (1) Class A Share (as adjusted for share splits, share combinations and similar transactions occurring after the Merger Effective Date) at any time at the option of the holder thereof. In no event shall any Class A Share be convertible into any Class B Shares;</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each Class B Share will automatically convert into one (1) Class A Share (as adjusted for share splits, share combinations and similar transactions occurring after the Merger Effective Date) on the first anniversary of Sponsor death or Incapacity;</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283"/>
              <w:jc w:val="both"/>
              <w:rPr/>
            </w:pPr>
            <w:r>
              <w:rPr/>
              <w:t>no Class B Shares shall be issued by the Company after conversion of all Class B Shares into Class A Shares;</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(d)</w:t>
            </w:r>
          </w:p>
        </w:tc>
        <w:tc>
          <w:tcPr>
            <w:tcW w:w="9910" w:type="dxa"/>
            <w:tcBorders/>
            <w:vAlign w:val="center"/>
          </w:tcPr>
          <w:p>
            <w:pPr>
              <w:pStyle w:val="TableContents"/>
              <w:bidi w:val="0"/>
              <w:spacing w:before="0" w:after="283"/>
              <w:jc w:val="both"/>
              <w:rPr/>
            </w:pPr>
            <w:r>
              <w:rPr/>
              <w:t>upon any sale, pledge, transfer, assignment or other disposition of Class B Shares by a holder thereof to any Person which is not a Permitted Transferee of such holder, each such Class B Share shall be automatically and immediately converted into one (1) Class A Share (as adjusted for share splits, share combinations and similar transactions occurring after the Acquisition Effective Time); provided that, notwithstanding anything to the contrary in these Articles, any pledge of Class B Shares by a holder thereof that creates a security interest in such Class B Shares pursuant to a bona fide loan or indebtedness transaction shall be permitted (and not result in any such conversion) for so long as Sponsor or his Affiliates continue to control, directly or indirectly, the exercise of the voting rights of such pledged Class B Shares; provided, further, however, that a foreclosure on such Class B Shares or other similar action by the pledgee will result in automatic and immediate conversion of such Class B Shares into Class A Shares unless the transferee in such foreclosure or similar action qualifies as a Permitted Transferee at such time. For the avoidance of doubt, any sale, pledge, transfer, assignment or disposition of Class B Shares to a Permitted Transferee does not result in automatic conversion into Class A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17.5</w:t>
            </w:r>
          </w:p>
        </w:tc>
        <w:tc>
          <w:tcPr>
            <w:tcW w:w="9750" w:type="dxa"/>
            <w:tcBorders/>
            <w:vAlign w:val="center"/>
          </w:tcPr>
          <w:p>
            <w:pPr>
              <w:pStyle w:val="TableContents"/>
              <w:bidi w:val="0"/>
              <w:spacing w:before="0" w:after="283"/>
              <w:jc w:val="both"/>
              <w:rPr/>
            </w:pPr>
            <w:r>
              <w:rPr/>
              <w:t>The Company may, from time to time, establish such policies and procedures relating to the conversion of the Class B Shares to Class A Shares, including the issuance of share certificates with respect thereto, as it may deem necessary or advisable.</w:t>
            </w:r>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17.6</w:t>
            </w:r>
          </w:p>
        </w:tc>
        <w:tc>
          <w:tcPr>
            <w:tcW w:w="9750" w:type="dxa"/>
            <w:tcBorders/>
            <w:vAlign w:val="center"/>
          </w:tcPr>
          <w:p>
            <w:pPr>
              <w:pStyle w:val="TableContents"/>
              <w:bidi w:val="0"/>
              <w:spacing w:before="0" w:after="283"/>
              <w:jc w:val="both"/>
              <w:rPr/>
            </w:pPr>
            <w:r>
              <w:rPr/>
              <w:t>The Company shall at all times reserve and keep available out of its authorized but unissued Class A Shares, solely for the purpose of effecting the conversion of the Class B Shares, such number of its Class A Shares as shall from time to time be sufficient to effect the conversion of all outstanding Class B Shares; and if at any time the number of authorized but unissued Class A Shares shall not be sufficient to effect the conversion of all then-outstanding Class B Shares, the Company will take such corporate action as may, in the opinion of its counsel, be necessary to increase its authorized but unissued Class A Shares to such numbers of shares as shall be sufficient for such purpose.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275"/>
        <w:gridCol w:w="8540"/>
      </w:tblGrid>
      <w:tr>
        <w:trPr/>
        <w:tc>
          <w:tcPr>
            <w:tcW w:w="275" w:type="dxa"/>
            <w:tcBorders/>
            <w:vAlign w:val="center"/>
          </w:tcPr>
          <w:p>
            <w:pPr>
              <w:pStyle w:val="TableContents"/>
              <w:bidi w:val="0"/>
              <w:spacing w:before="0" w:after="283"/>
              <w:jc w:val="left"/>
              <w:rPr>
                <w:b/>
              </w:rPr>
            </w:pPr>
            <w:r>
              <w:rPr>
                <w:b/>
              </w:rPr>
              <w:t>18</w:t>
            </w:r>
          </w:p>
        </w:tc>
        <w:tc>
          <w:tcPr>
            <w:tcW w:w="8540" w:type="dxa"/>
            <w:tcBorders/>
            <w:vAlign w:val="center"/>
          </w:tcPr>
          <w:p>
            <w:pPr>
              <w:pStyle w:val="TableContents"/>
              <w:bidi w:val="0"/>
              <w:spacing w:before="0" w:after="283"/>
              <w:jc w:val="left"/>
              <w:rPr>
                <w:b/>
              </w:rPr>
            </w:pPr>
            <w:r>
              <w:rPr>
                <w:b/>
              </w:rPr>
              <w:t>Amendments of Memorandum and Articles of Association and Alteration of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18.1</w:t>
            </w:r>
          </w:p>
        </w:tc>
        <w:tc>
          <w:tcPr>
            <w:tcW w:w="9750" w:type="dxa"/>
            <w:tcBorders/>
            <w:vAlign w:val="center"/>
          </w:tcPr>
          <w:p>
            <w:pPr>
              <w:pStyle w:val="TableContents"/>
              <w:bidi w:val="0"/>
              <w:spacing w:before="0" w:after="283"/>
              <w:jc w:val="left"/>
              <w:rPr/>
            </w:pPr>
            <w:r>
              <w:rPr/>
              <w:t>The Company may by Ordinary Resolution, subject to the rights of the Class B Shares, including under Article 17.3: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2" w:type="dxa"/>
            <w:tcBorders/>
            <w:vAlign w:val="center"/>
          </w:tcPr>
          <w:p>
            <w:pPr>
              <w:pStyle w:val="TableContents"/>
              <w:bidi w:val="0"/>
              <w:spacing w:before="0" w:after="283"/>
              <w:jc w:val="both"/>
              <w:rPr/>
            </w:pPr>
            <w:r>
              <w:rPr/>
              <w:t>increase its share capital by such sum as the Ordinary Resolution shall prescribe and with such rights, priorities and privileges annexed thereto, as the Company in general meeting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(b)</w:t>
            </w:r>
          </w:p>
        </w:tc>
        <w:tc>
          <w:tcPr>
            <w:tcW w:w="9841" w:type="dxa"/>
            <w:tcBorders/>
            <w:vAlign w:val="center"/>
          </w:tcPr>
          <w:p>
            <w:pPr>
              <w:pStyle w:val="TableContents"/>
              <w:bidi w:val="0"/>
              <w:spacing w:before="0" w:after="283"/>
              <w:jc w:val="both"/>
              <w:rPr/>
            </w:pPr>
            <w:r>
              <w:rPr/>
              <w:t>consolidate and divide all or any of its share capital into Shares of larger amount than its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(c)</w:t>
            </w:r>
          </w:p>
        </w:tc>
        <w:tc>
          <w:tcPr>
            <w:tcW w:w="9908" w:type="dxa"/>
            <w:tcBorders/>
            <w:vAlign w:val="center"/>
          </w:tcPr>
          <w:p>
            <w:pPr>
              <w:pStyle w:val="TableContents"/>
              <w:bidi w:val="0"/>
              <w:spacing w:before="0" w:after="283"/>
              <w:jc w:val="both"/>
              <w:rPr/>
            </w:pPr>
            <w:r>
              <w:rPr/>
              <w:t>by subdivision of its existing Shares or any of them divide the whole or any part of its share capital into Shares of smaller amount; provided, that in the subdivision the amount paid and the amount, if any, unpaid on each reduced share shall be the same as it was in case of the share from which the reduced share is derived;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(d)</w:t>
            </w:r>
          </w:p>
        </w:tc>
        <w:tc>
          <w:tcPr>
            <w:tcW w:w="9882" w:type="dxa"/>
            <w:tcBorders/>
            <w:vAlign w:val="center"/>
          </w:tcPr>
          <w:p>
            <w:pPr>
              <w:pStyle w:val="TableContents"/>
              <w:bidi w:val="0"/>
              <w:spacing w:before="0" w:after="283"/>
              <w:jc w:val="both"/>
              <w:rPr/>
            </w:pPr>
            <w:r>
              <w:rPr/>
              <w:t>cancel any Shares that at the date of the passing of the Ordinary Resolution have not been taken or agreed to be taken by any Person and diminish the amount of its share capital by the amount of the Shares so cancelled.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18.2</w:t>
            </w:r>
          </w:p>
        </w:tc>
        <w:tc>
          <w:tcPr>
            <w:tcW w:w="9750" w:type="dxa"/>
            <w:tcBorders/>
            <w:vAlign w:val="center"/>
          </w:tcPr>
          <w:p>
            <w:pPr>
              <w:pStyle w:val="TableContents"/>
              <w:bidi w:val="0"/>
              <w:spacing w:before="0" w:after="283"/>
              <w:jc w:val="both"/>
              <w:rPr/>
            </w:pPr>
            <w:r>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18.3</w:t>
            </w:r>
          </w:p>
        </w:tc>
        <w:tc>
          <w:tcPr>
            <w:tcW w:w="9750" w:type="dxa"/>
            <w:tcBorders/>
            <w:vAlign w:val="center"/>
          </w:tcPr>
          <w:p>
            <w:pPr>
              <w:pStyle w:val="TableContents"/>
              <w:bidi w:val="0"/>
              <w:spacing w:before="0" w:after="283"/>
              <w:jc w:val="both"/>
              <w:rPr/>
            </w:pPr>
            <w:r>
              <w:rPr/>
              <w:t>Subject to the rights of the Class B Shares, including under Article 17.3(e), the provisions of the Statute, the provisions of the Articles as regards the matters to be dealt with by Ordinary Resolution, the Company may by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275"/>
        <w:gridCol w:w="16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1610" w:type="dxa"/>
            <w:tcBorders/>
            <w:vAlign w:val="center"/>
          </w:tcPr>
          <w:p>
            <w:pPr>
              <w:pStyle w:val="TableContents"/>
              <w:bidi w:val="0"/>
              <w:spacing w:before="0" w:after="283"/>
              <w:jc w:val="left"/>
              <w:rPr/>
            </w:pPr>
            <w:r>
              <w:rPr/>
              <w:t>change its name;</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290"/>
        <w:gridCol w:w="25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2540" w:type="dxa"/>
            <w:tcBorders/>
            <w:vAlign w:val="center"/>
          </w:tcPr>
          <w:p>
            <w:pPr>
              <w:pStyle w:val="TableContents"/>
              <w:bidi w:val="0"/>
              <w:spacing w:before="0" w:after="283"/>
              <w:jc w:val="left"/>
              <w:rPr/>
            </w:pPr>
            <w:r>
              <w:rPr/>
              <w:t>alter or add to the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(c)</w:t>
            </w:r>
          </w:p>
        </w:tc>
        <w:tc>
          <w:tcPr>
            <w:tcW w:w="9857" w:type="dxa"/>
            <w:tcBorders/>
            <w:vAlign w:val="center"/>
          </w:tcPr>
          <w:p>
            <w:pPr>
              <w:pStyle w:val="TableContents"/>
              <w:bidi w:val="0"/>
              <w:spacing w:before="0" w:after="283"/>
              <w:jc w:val="both"/>
              <w:rPr/>
            </w:pPr>
            <w:r>
              <w:rPr/>
              <w:t>alter or add to the Memorandum with respect to any objects, powers or other matters specified therein; and</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290"/>
        <w:gridCol w:w="59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5915" w:type="dxa"/>
            <w:tcBorders/>
            <w:vAlign w:val="center"/>
          </w:tcPr>
          <w:p>
            <w:pPr>
              <w:pStyle w:val="TableContents"/>
              <w:bidi w:val="0"/>
              <w:spacing w:before="0" w:after="283"/>
              <w:jc w:val="left"/>
              <w:rPr/>
            </w:pPr>
            <w:r>
              <w:rPr/>
              <w:t>reduce its share capital or any capital redemption reserve fund.</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75"/>
        <w:gridCol w:w="3050"/>
      </w:tblGrid>
      <w:tr>
        <w:trPr/>
        <w:tc>
          <w:tcPr>
            <w:tcW w:w="275" w:type="dxa"/>
            <w:tcBorders/>
            <w:vAlign w:val="center"/>
          </w:tcPr>
          <w:p>
            <w:pPr>
              <w:pStyle w:val="TableContents"/>
              <w:bidi w:val="0"/>
              <w:spacing w:before="0" w:after="283"/>
              <w:jc w:val="left"/>
              <w:rPr>
                <w:b/>
              </w:rPr>
            </w:pPr>
            <w:r>
              <w:rPr>
                <w:b/>
              </w:rPr>
              <w:t>19</w:t>
            </w:r>
          </w:p>
        </w:tc>
        <w:tc>
          <w:tcPr>
            <w:tcW w:w="3050" w:type="dxa"/>
            <w:tcBorders/>
            <w:vAlign w:val="center"/>
          </w:tcPr>
          <w:p>
            <w:pPr>
              <w:pStyle w:val="TableContents"/>
              <w:bidi w:val="0"/>
              <w:spacing w:before="0" w:after="283"/>
              <w:jc w:val="left"/>
              <w:rPr>
                <w:b/>
              </w:rPr>
            </w:pPr>
            <w:r>
              <w:rPr>
                <w:b/>
              </w:rPr>
              <w:t>Offices and Places of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283"/>
              <w:jc w:val="left"/>
              <w:rPr>
                <w:b/>
              </w:rPr>
            </w:pPr>
            <w:r>
              <w:rPr>
                <w:b/>
              </w:rPr>
              <w:t>20</w:t>
            </w:r>
          </w:p>
        </w:tc>
        <w:tc>
          <w:tcPr>
            <w:tcW w:w="1820" w:type="dxa"/>
            <w:tcBorders/>
            <w:vAlign w:val="center"/>
          </w:tcPr>
          <w:p>
            <w:pPr>
              <w:pStyle w:val="TableContents"/>
              <w:bidi w:val="0"/>
              <w:spacing w:before="0" w:after="283"/>
              <w:jc w:val="left"/>
              <w:rPr>
                <w:b/>
              </w:rPr>
            </w:pPr>
            <w:r>
              <w:rPr>
                <w:b/>
              </w:rPr>
              <w:t>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20.1</w:t>
            </w:r>
          </w:p>
        </w:tc>
        <w:tc>
          <w:tcPr>
            <w:tcW w:w="9750" w:type="dxa"/>
            <w:tcBorders/>
            <w:vAlign w:val="center"/>
          </w:tcPr>
          <w:p>
            <w:pPr>
              <w:pStyle w:val="TableContents"/>
              <w:bidi w:val="0"/>
              <w:spacing w:before="0" w:after="283"/>
              <w:jc w:val="left"/>
              <w:rPr/>
            </w:pPr>
            <w:r>
              <w:rPr/>
              <w:t>All general meetings other than annual general meetings shall be called extraordinary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20.2</w:t>
            </w:r>
          </w:p>
        </w:tc>
        <w:tc>
          <w:tcPr>
            <w:tcW w:w="9750" w:type="dxa"/>
            <w:tcBorders/>
            <w:vAlign w:val="center"/>
          </w:tcPr>
          <w:p>
            <w:pPr>
              <w:pStyle w:val="TableContents"/>
              <w:bidi w:val="0"/>
              <w:spacing w:before="0" w:after="283"/>
              <w:jc w:val="both"/>
              <w:rPr/>
            </w:pPr>
            <w:r>
              <w:rPr/>
              <w:t>The Company may (but shall not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20.3</w:t>
            </w:r>
          </w:p>
        </w:tc>
        <w:tc>
          <w:tcPr>
            <w:tcW w:w="9750" w:type="dxa"/>
            <w:tcBorders/>
            <w:vAlign w:val="center"/>
          </w:tcPr>
          <w:p>
            <w:pPr>
              <w:pStyle w:val="TableContents"/>
              <w:bidi w:val="0"/>
              <w:spacing w:before="0" w:after="283"/>
              <w:jc w:val="both"/>
              <w:rPr/>
            </w:pPr>
            <w:r>
              <w:rPr/>
              <w:t>The Directors, the chief executive officer or the Chairman may call general meetings, and, for the avoidance of doubt, Members shall not have the ability to call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20.4</w:t>
            </w:r>
          </w:p>
        </w:tc>
        <w:tc>
          <w:tcPr>
            <w:tcW w:w="9750" w:type="dxa"/>
            <w:tcBorders/>
            <w:vAlign w:val="center"/>
          </w:tcPr>
          <w:p>
            <w:pPr>
              <w:pStyle w:val="TableContents"/>
              <w:bidi w:val="0"/>
              <w:spacing w:before="0" w:after="283"/>
              <w:jc w:val="both"/>
              <w:rPr/>
            </w:pPr>
            <w:r>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275"/>
        <w:gridCol w:w="2780"/>
      </w:tblGrid>
      <w:tr>
        <w:trPr/>
        <w:tc>
          <w:tcPr>
            <w:tcW w:w="275" w:type="dxa"/>
            <w:tcBorders/>
            <w:vAlign w:val="center"/>
          </w:tcPr>
          <w:p>
            <w:pPr>
              <w:pStyle w:val="TableContents"/>
              <w:bidi w:val="0"/>
              <w:spacing w:before="0" w:after="283"/>
              <w:jc w:val="left"/>
              <w:rPr>
                <w:b/>
              </w:rPr>
            </w:pPr>
            <w:r>
              <w:rPr>
                <w:b/>
              </w:rPr>
              <w:t>21</w:t>
            </w:r>
          </w:p>
        </w:tc>
        <w:tc>
          <w:tcPr>
            <w:tcW w:w="2780" w:type="dxa"/>
            <w:tcBorders/>
            <w:vAlign w:val="center"/>
          </w:tcPr>
          <w:p>
            <w:pPr>
              <w:pStyle w:val="TableContents"/>
              <w:bidi w:val="0"/>
              <w:spacing w:before="0" w:after="283"/>
              <w:jc w:val="left"/>
              <w:rPr>
                <w:b/>
              </w:rPr>
            </w:pPr>
            <w:r>
              <w:rPr>
                <w:b/>
              </w:rPr>
              <w:t>Notice of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21.1</w:t>
            </w:r>
          </w:p>
        </w:tc>
        <w:tc>
          <w:tcPr>
            <w:tcW w:w="9750" w:type="dxa"/>
            <w:tcBorders/>
            <w:vAlign w:val="center"/>
          </w:tcPr>
          <w:p>
            <w:pPr>
              <w:pStyle w:val="TableContents"/>
              <w:bidi w:val="0"/>
              <w:spacing w:before="0" w:after="283"/>
              <w:jc w:val="both"/>
              <w:rPr/>
            </w:pPr>
            <w:r>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(a)</w:t>
            </w:r>
          </w:p>
        </w:tc>
        <w:tc>
          <w:tcPr>
            <w:tcW w:w="9866" w:type="dxa"/>
            <w:tcBorders/>
            <w:vAlign w:val="center"/>
          </w:tcPr>
          <w:p>
            <w:pPr>
              <w:pStyle w:val="TableContents"/>
              <w:bidi w:val="0"/>
              <w:spacing w:before="0" w:after="283"/>
              <w:jc w:val="both"/>
              <w:rPr/>
            </w:pPr>
            <w:r>
              <w:rPr/>
              <w:t>in the case of an annual general meeting, by all of the Members (or their proxies) entitled to attend and vote thereat;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in the case of an extraordinary general meeting, by Members (or their proxies) having the right to attend and vote at the meeting, together holding shares entitling the holders thereof to not less than two-thirds of the votes entitled to be cast at such extraordinary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21.2</w:t>
            </w:r>
          </w:p>
        </w:tc>
        <w:tc>
          <w:tcPr>
            <w:tcW w:w="9750" w:type="dxa"/>
            <w:tcBorders/>
            <w:vAlign w:val="center"/>
          </w:tcPr>
          <w:p>
            <w:pPr>
              <w:pStyle w:val="TableContents"/>
              <w:bidi w:val="0"/>
              <w:spacing w:before="0" w:after="283"/>
              <w:jc w:val="both"/>
              <w:rPr/>
            </w:pPr>
            <w:r>
              <w:rPr/>
              <w:t>The accidental omission to give notice of a general meeting to, or the non-receipt of notice of a general meeting by, any Person entitled to receive such notice shall not invalidate the proceedings of that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75"/>
        <w:gridCol w:w="3365"/>
      </w:tblGrid>
      <w:tr>
        <w:trPr/>
        <w:tc>
          <w:tcPr>
            <w:tcW w:w="275" w:type="dxa"/>
            <w:tcBorders/>
            <w:vAlign w:val="center"/>
          </w:tcPr>
          <w:p>
            <w:pPr>
              <w:pStyle w:val="TableContents"/>
              <w:bidi w:val="0"/>
              <w:spacing w:before="0" w:after="283"/>
              <w:jc w:val="left"/>
              <w:rPr>
                <w:b/>
              </w:rPr>
            </w:pPr>
            <w:r>
              <w:rPr>
                <w:b/>
              </w:rPr>
              <w:t>22</w:t>
            </w:r>
          </w:p>
        </w:tc>
        <w:tc>
          <w:tcPr>
            <w:tcW w:w="3365" w:type="dxa"/>
            <w:tcBorders/>
            <w:vAlign w:val="center"/>
          </w:tcPr>
          <w:p>
            <w:pPr>
              <w:pStyle w:val="TableContents"/>
              <w:bidi w:val="0"/>
              <w:spacing w:before="0" w:after="283"/>
              <w:jc w:val="left"/>
              <w:rPr>
                <w:b/>
              </w:rPr>
            </w:pPr>
            <w:r>
              <w:rPr>
                <w:b/>
              </w:rPr>
              <w:t>Proceedings at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22.1</w:t>
            </w:r>
          </w:p>
        </w:tc>
        <w:tc>
          <w:tcPr>
            <w:tcW w:w="9750" w:type="dxa"/>
            <w:tcBorders/>
            <w:vAlign w:val="center"/>
          </w:tcPr>
          <w:p>
            <w:pPr>
              <w:pStyle w:val="TableContents"/>
              <w:bidi w:val="0"/>
              <w:spacing w:before="0" w:after="283"/>
              <w:jc w:val="both"/>
              <w:rPr/>
            </w:pPr>
            <w:r>
              <w:rPr/>
              <w:t>No business shall be transacted at any general meeting unless a quorum of Members is present. A general meeting is duly constituted if, at the commencement of the meeting, there are present in person, through their authorised representative or by proxy two Members entitled to vote on resolutions of Members to be considered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22.2</w:t>
            </w:r>
          </w:p>
        </w:tc>
        <w:tc>
          <w:tcPr>
            <w:tcW w:w="9750" w:type="dxa"/>
            <w:tcBorders/>
            <w:vAlign w:val="center"/>
          </w:tcPr>
          <w:p>
            <w:pPr>
              <w:pStyle w:val="TableContents"/>
              <w:bidi w:val="0"/>
              <w:spacing w:before="0" w:after="283"/>
              <w:jc w:val="both"/>
              <w:rPr/>
            </w:pPr>
            <w:r>
              <w:rPr/>
              <w:t>If provided by the Company,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22.3</w:t>
            </w:r>
          </w:p>
        </w:tc>
        <w:tc>
          <w:tcPr>
            <w:tcW w:w="9750" w:type="dxa"/>
            <w:tcBorders/>
            <w:vAlign w:val="center"/>
          </w:tcPr>
          <w:p>
            <w:pPr>
              <w:pStyle w:val="TableContents"/>
              <w:bidi w:val="0"/>
              <w:spacing w:before="0" w:after="283"/>
              <w:jc w:val="both"/>
              <w:rPr/>
            </w:pPr>
            <w:r>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22.4</w:t>
            </w:r>
          </w:p>
        </w:tc>
        <w:tc>
          <w:tcPr>
            <w:tcW w:w="9750" w:type="dxa"/>
            <w:tcBorders/>
            <w:vAlign w:val="center"/>
          </w:tcPr>
          <w:p>
            <w:pPr>
              <w:pStyle w:val="TableContents"/>
              <w:bidi w:val="0"/>
              <w:spacing w:before="0" w:after="283"/>
              <w:jc w:val="both"/>
              <w:rPr/>
            </w:pPr>
            <w:r>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22.5</w:t>
            </w:r>
          </w:p>
        </w:tc>
        <w:tc>
          <w:tcPr>
            <w:tcW w:w="9750" w:type="dxa"/>
            <w:tcBorders/>
            <w:vAlign w:val="center"/>
          </w:tcPr>
          <w:p>
            <w:pPr>
              <w:pStyle w:val="TableContents"/>
              <w:bidi w:val="0"/>
              <w:spacing w:before="0" w:after="283"/>
              <w:jc w:val="both"/>
              <w:rPr/>
            </w:pPr>
            <w:r>
              <w:rPr/>
              <w:t>The Directors may, at the time prior to the time appointed for the meeting to commence, appoint any Person to act as a chairman of a general meeting or, if the Directors do not make any such appointment, the chairman, if any, of the board of Directors (as elected by a majority of the Directors in accordance with Article 31.7) shall preside as chairman at such general meeting. If there is no chairman present, or if the chairman is unwilling to act, the Directors present shall elect one of their number to be chairman of the meeting. The voting rights of the Chairman, if a Director, as to the matters to be decided by the Board of Directors shall be the same as other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22.6</w:t>
            </w:r>
          </w:p>
        </w:tc>
        <w:tc>
          <w:tcPr>
            <w:tcW w:w="9750" w:type="dxa"/>
            <w:tcBorders/>
            <w:vAlign w:val="center"/>
          </w:tcPr>
          <w:p>
            <w:pPr>
              <w:pStyle w:val="TableContents"/>
              <w:bidi w:val="0"/>
              <w:spacing w:before="0" w:after="283"/>
              <w:jc w:val="both"/>
              <w:rPr/>
            </w:pPr>
            <w:r>
              <w:rPr/>
              <w:t>The chairman may, with the consent of a meeting at which a quorum is present (and shall if so directed by the meeting) adjourn the meeting from time to time and from place to place (provided, that no special meeting called by the holders of Class B Shares may be adjourned unless a quorum does not exist), but no business shall be transacted at any adjourned meeting other than the business left unfinished at the meeting from which the adjournment took place.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22.7</w:t>
            </w:r>
          </w:p>
        </w:tc>
        <w:tc>
          <w:tcPr>
            <w:tcW w:w="9750" w:type="dxa"/>
            <w:tcBorders/>
            <w:vAlign w:val="center"/>
          </w:tcPr>
          <w:p>
            <w:pPr>
              <w:pStyle w:val="TableContents"/>
              <w:bidi w:val="0"/>
              <w:spacing w:before="0" w:after="283"/>
              <w:jc w:val="both"/>
              <w:rPr/>
            </w:pPr>
            <w:r>
              <w:rPr/>
              <w:t>When a general meeting is adjourned for thirty days or more, notice of the adjourned meeting shall be given as in the case of an original meeting. Otherwise, it shall not be necessary to give any such notice of an adjourned meeting.</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455"/>
        <w:gridCol w:w="6545"/>
      </w:tblGrid>
      <w:tr>
        <w:trPr/>
        <w:tc>
          <w:tcPr>
            <w:tcW w:w="455" w:type="dxa"/>
            <w:tcBorders/>
            <w:vAlign w:val="center"/>
          </w:tcPr>
          <w:p>
            <w:pPr>
              <w:pStyle w:val="TableContents"/>
              <w:bidi w:val="0"/>
              <w:spacing w:before="0" w:after="283"/>
              <w:jc w:val="left"/>
              <w:rPr/>
            </w:pPr>
            <w:r>
              <w:rPr/>
              <w:t>22.8</w:t>
            </w:r>
          </w:p>
        </w:tc>
        <w:tc>
          <w:tcPr>
            <w:tcW w:w="6545" w:type="dxa"/>
            <w:tcBorders/>
            <w:vAlign w:val="center"/>
          </w:tcPr>
          <w:p>
            <w:pPr>
              <w:pStyle w:val="TableContents"/>
              <w:bidi w:val="0"/>
              <w:spacing w:before="0" w:after="283"/>
              <w:jc w:val="left"/>
              <w:rPr/>
            </w:pPr>
            <w:r>
              <w:rPr/>
              <w:t>A resolution put to the vote of the meeting shall be decided on a poll.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22.9</w:t>
            </w:r>
          </w:p>
        </w:tc>
        <w:tc>
          <w:tcPr>
            <w:tcW w:w="9750" w:type="dxa"/>
            <w:tcBorders/>
            <w:vAlign w:val="center"/>
          </w:tcPr>
          <w:p>
            <w:pPr>
              <w:pStyle w:val="TableContents"/>
              <w:bidi w:val="0"/>
              <w:spacing w:before="0" w:after="283"/>
              <w:jc w:val="both"/>
              <w:rPr/>
            </w:pPr>
            <w:r>
              <w:rPr/>
              <w:t>A poll shall be taken as the chairman directs, and the result of the poll shall be deemed to be the resolution of the general meeting at which the poll was demanded.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22.10</w:t>
            </w:r>
          </w:p>
        </w:tc>
        <w:tc>
          <w:tcPr>
            <w:tcW w:w="9630" w:type="dxa"/>
            <w:tcBorders/>
            <w:vAlign w:val="center"/>
          </w:tcPr>
          <w:p>
            <w:pPr>
              <w:pStyle w:val="TableContents"/>
              <w:bidi w:val="0"/>
              <w:spacing w:before="0" w:after="283"/>
              <w:jc w:val="both"/>
              <w:rPr/>
            </w:pPr>
            <w:r>
              <w:rPr/>
              <w:t>A poll demanded on the election of a chairman or on a question of adjournment shall be taken forthwith (provided, that no special meeting called by a holder of Class B Shares may be adjourned unless a quorum does not exist). A poll demanded on any other question shall be taken at such date, time and place as the chairman of the general meeting directs, and any business other than that upon which a poll has been demanded or is contingent thereon may proceed pending the taking of the poll.</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575"/>
        <w:gridCol w:w="8630"/>
      </w:tblGrid>
      <w:tr>
        <w:trPr/>
        <w:tc>
          <w:tcPr>
            <w:tcW w:w="575" w:type="dxa"/>
            <w:tcBorders/>
            <w:vAlign w:val="center"/>
          </w:tcPr>
          <w:p>
            <w:pPr>
              <w:pStyle w:val="TableContents"/>
              <w:bidi w:val="0"/>
              <w:spacing w:before="0" w:after="283"/>
              <w:jc w:val="left"/>
              <w:rPr/>
            </w:pPr>
            <w:r>
              <w:rPr/>
              <w:t>22.11</w:t>
            </w:r>
          </w:p>
        </w:tc>
        <w:tc>
          <w:tcPr>
            <w:tcW w:w="8630" w:type="dxa"/>
            <w:tcBorders/>
            <w:vAlign w:val="center"/>
          </w:tcPr>
          <w:p>
            <w:pPr>
              <w:pStyle w:val="TableContents"/>
              <w:bidi w:val="0"/>
              <w:spacing w:before="0" w:after="283"/>
              <w:jc w:val="left"/>
              <w:rPr/>
            </w:pPr>
            <w:r>
              <w:rPr/>
              <w:t>In the case of an equality of votes the chairman shall be entitled to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75"/>
        <w:gridCol w:w="1880"/>
      </w:tblGrid>
      <w:tr>
        <w:trPr/>
        <w:tc>
          <w:tcPr>
            <w:tcW w:w="275" w:type="dxa"/>
            <w:tcBorders/>
            <w:vAlign w:val="center"/>
          </w:tcPr>
          <w:p>
            <w:pPr>
              <w:pStyle w:val="TableContents"/>
              <w:bidi w:val="0"/>
              <w:spacing w:before="0" w:after="283"/>
              <w:jc w:val="left"/>
              <w:rPr>
                <w:b/>
              </w:rPr>
            </w:pPr>
            <w:r>
              <w:rPr>
                <w:b/>
              </w:rPr>
              <w:t>23</w:t>
            </w:r>
          </w:p>
        </w:tc>
        <w:tc>
          <w:tcPr>
            <w:tcW w:w="1880" w:type="dxa"/>
            <w:tcBorders/>
            <w:vAlign w:val="center"/>
          </w:tcPr>
          <w:p>
            <w:pPr>
              <w:pStyle w:val="TableContents"/>
              <w:bidi w:val="0"/>
              <w:spacing w:before="0" w:after="283"/>
              <w:jc w:val="left"/>
              <w:rPr>
                <w:b/>
              </w:rPr>
            </w:pPr>
            <w:r>
              <w:rPr>
                <w:b/>
              </w:rPr>
              <w:t>Votes of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23.1</w:t>
            </w:r>
          </w:p>
        </w:tc>
        <w:tc>
          <w:tcPr>
            <w:tcW w:w="9750" w:type="dxa"/>
            <w:tcBorders/>
            <w:vAlign w:val="center"/>
          </w:tcPr>
          <w:p>
            <w:pPr>
              <w:pStyle w:val="TableContents"/>
              <w:bidi w:val="0"/>
              <w:spacing w:before="0" w:after="283"/>
              <w:jc w:val="both"/>
              <w:rPr/>
            </w:pPr>
            <w:r>
              <w:rPr/>
              <w:t>Subject to any rights or restrictions attached to any Shares, including in Articles 17.3 and 17.4, each Class A Share shall be entitled to one (1) vote on all matters subject to a vote of Members, , and each Class B Share shall be entitled to ten (10) votes on all matters subject to a vote of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23.2</w:t>
            </w:r>
          </w:p>
        </w:tc>
        <w:tc>
          <w:tcPr>
            <w:tcW w:w="9750" w:type="dxa"/>
            <w:tcBorders/>
            <w:vAlign w:val="center"/>
          </w:tcPr>
          <w:p>
            <w:pPr>
              <w:pStyle w:val="TableContents"/>
              <w:bidi w:val="0"/>
              <w:spacing w:before="0" w:after="283"/>
              <w:jc w:val="both"/>
              <w:rPr/>
            </w:pPr>
            <w:r>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23.3</w:t>
            </w:r>
          </w:p>
        </w:tc>
        <w:tc>
          <w:tcPr>
            <w:tcW w:w="9750" w:type="dxa"/>
            <w:tcBorders/>
            <w:vAlign w:val="center"/>
          </w:tcPr>
          <w:p>
            <w:pPr>
              <w:pStyle w:val="TableContents"/>
              <w:bidi w:val="0"/>
              <w:spacing w:before="0" w:after="283"/>
              <w:jc w:val="both"/>
              <w:rPr/>
            </w:pPr>
            <w:r>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23.4</w:t>
            </w:r>
          </w:p>
        </w:tc>
        <w:tc>
          <w:tcPr>
            <w:tcW w:w="9750" w:type="dxa"/>
            <w:tcBorders/>
            <w:vAlign w:val="center"/>
          </w:tcPr>
          <w:p>
            <w:pPr>
              <w:pStyle w:val="TableContents"/>
              <w:bidi w:val="0"/>
              <w:spacing w:before="0" w:after="283"/>
              <w:jc w:val="both"/>
              <w:rPr/>
            </w:pPr>
            <w:r>
              <w:rPr/>
              <w:t>No Person shall be entitled to vote at any general meeting unless he is registered as a Member on the record date for such meeting nor unless all calls or other monies then payable by him in respect of Shares have been 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23.5</w:t>
            </w:r>
          </w:p>
        </w:tc>
        <w:tc>
          <w:tcPr>
            <w:tcW w:w="9750" w:type="dxa"/>
            <w:tcBorders/>
            <w:vAlign w:val="center"/>
          </w:tcPr>
          <w:p>
            <w:pPr>
              <w:pStyle w:val="TableContents"/>
              <w:bidi w:val="0"/>
              <w:spacing w:before="0" w:after="283"/>
              <w:jc w:val="both"/>
              <w:rPr/>
            </w:pPr>
            <w:r>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23.6</w:t>
            </w:r>
          </w:p>
        </w:tc>
        <w:tc>
          <w:tcPr>
            <w:tcW w:w="9750" w:type="dxa"/>
            <w:tcBorders/>
            <w:vAlign w:val="center"/>
          </w:tcPr>
          <w:p>
            <w:pPr>
              <w:pStyle w:val="TableContents"/>
              <w:bidi w:val="0"/>
              <w:spacing w:before="0" w:after="283"/>
              <w:jc w:val="both"/>
              <w:rPr/>
            </w:pPr>
            <w:r>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23.7</w:t>
            </w:r>
          </w:p>
        </w:tc>
        <w:tc>
          <w:tcPr>
            <w:tcW w:w="9750" w:type="dxa"/>
            <w:tcBorders/>
            <w:vAlign w:val="center"/>
          </w:tcPr>
          <w:p>
            <w:pPr>
              <w:pStyle w:val="TableContents"/>
              <w:bidi w:val="0"/>
              <w:spacing w:before="0" w:after="283"/>
              <w:jc w:val="both"/>
              <w:rPr/>
            </w:pPr>
            <w:r>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tc>
      </w:tr>
    </w:tbl>
    <w:p>
      <w:pPr>
        <w:pStyle w:val="TextBody"/>
        <w:bidi w:val="0"/>
        <w:spacing w:before="0" w:after="0"/>
        <w:ind w:left="0" w:right="0" w:hanging="0"/>
        <w:jc w:val="left"/>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75"/>
        <w:gridCol w:w="785"/>
      </w:tblGrid>
      <w:tr>
        <w:trPr/>
        <w:tc>
          <w:tcPr>
            <w:tcW w:w="275" w:type="dxa"/>
            <w:tcBorders/>
            <w:vAlign w:val="center"/>
          </w:tcPr>
          <w:p>
            <w:pPr>
              <w:pStyle w:val="TableContents"/>
              <w:bidi w:val="0"/>
              <w:spacing w:before="0" w:after="283"/>
              <w:jc w:val="left"/>
              <w:rPr>
                <w:b/>
              </w:rPr>
            </w:pPr>
            <w:r>
              <w:rPr>
                <w:b/>
              </w:rPr>
              <w:t>24</w:t>
            </w:r>
          </w:p>
        </w:tc>
        <w:tc>
          <w:tcPr>
            <w:tcW w:w="785" w:type="dxa"/>
            <w:tcBorders/>
            <w:vAlign w:val="center"/>
          </w:tcPr>
          <w:p>
            <w:pPr>
              <w:pStyle w:val="TableContents"/>
              <w:bidi w:val="0"/>
              <w:spacing w:before="0" w:after="283"/>
              <w:jc w:val="left"/>
              <w:rPr>
                <w:b/>
              </w:rPr>
            </w:pPr>
            <w:r>
              <w:rPr>
                <w:b/>
              </w:rPr>
              <w:t>Proxies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24.1</w:t>
            </w:r>
          </w:p>
        </w:tc>
        <w:tc>
          <w:tcPr>
            <w:tcW w:w="9750" w:type="dxa"/>
            <w:tcBorders/>
            <w:vAlign w:val="center"/>
          </w:tcPr>
          <w:p>
            <w:pPr>
              <w:pStyle w:val="TableContents"/>
              <w:bidi w:val="0"/>
              <w:spacing w:before="0" w:after="283"/>
              <w:jc w:val="both"/>
              <w:rPr/>
            </w:pPr>
            <w:r>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24.2</w:t>
            </w:r>
          </w:p>
        </w:tc>
        <w:tc>
          <w:tcPr>
            <w:tcW w:w="9750" w:type="dxa"/>
            <w:tcBorders/>
            <w:vAlign w:val="center"/>
          </w:tcPr>
          <w:p>
            <w:pPr>
              <w:pStyle w:val="TableContents"/>
              <w:bidi w:val="0"/>
              <w:spacing w:before="0" w:after="283"/>
              <w:jc w:val="both"/>
              <w:rPr/>
            </w:pPr>
            <w:r>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24.3</w:t>
            </w:r>
          </w:p>
        </w:tc>
        <w:tc>
          <w:tcPr>
            <w:tcW w:w="9750" w:type="dxa"/>
            <w:tcBorders/>
            <w:vAlign w:val="center"/>
          </w:tcPr>
          <w:p>
            <w:pPr>
              <w:pStyle w:val="TableContents"/>
              <w:bidi w:val="0"/>
              <w:spacing w:before="0" w:after="283"/>
              <w:jc w:val="both"/>
              <w:rPr/>
            </w:pPr>
            <w:r>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24.4</w:t>
            </w:r>
          </w:p>
        </w:tc>
        <w:tc>
          <w:tcPr>
            <w:tcW w:w="9750" w:type="dxa"/>
            <w:tcBorders/>
            <w:vAlign w:val="center"/>
          </w:tcPr>
          <w:p>
            <w:pPr>
              <w:pStyle w:val="TableContents"/>
              <w:bidi w:val="0"/>
              <w:spacing w:before="0" w:after="283"/>
              <w:jc w:val="both"/>
              <w:rPr/>
            </w:pPr>
            <w:r>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24.5</w:t>
            </w:r>
          </w:p>
        </w:tc>
        <w:tc>
          <w:tcPr>
            <w:tcW w:w="9750" w:type="dxa"/>
            <w:tcBorders/>
            <w:vAlign w:val="center"/>
          </w:tcPr>
          <w:p>
            <w:pPr>
              <w:pStyle w:val="TableContents"/>
              <w:bidi w:val="0"/>
              <w:spacing w:before="0" w:after="283"/>
              <w:jc w:val="both"/>
              <w:rPr/>
            </w:pPr>
            <w:r>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75"/>
        <w:gridCol w:w="2120"/>
      </w:tblGrid>
      <w:tr>
        <w:trPr/>
        <w:tc>
          <w:tcPr>
            <w:tcW w:w="275" w:type="dxa"/>
            <w:tcBorders/>
            <w:vAlign w:val="center"/>
          </w:tcPr>
          <w:p>
            <w:pPr>
              <w:pStyle w:val="TableContents"/>
              <w:bidi w:val="0"/>
              <w:spacing w:before="0" w:after="283"/>
              <w:jc w:val="left"/>
              <w:rPr>
                <w:b/>
              </w:rPr>
            </w:pPr>
            <w:r>
              <w:rPr>
                <w:b/>
              </w:rPr>
              <w:t>25</w:t>
            </w:r>
          </w:p>
        </w:tc>
        <w:tc>
          <w:tcPr>
            <w:tcW w:w="2120" w:type="dxa"/>
            <w:tcBorders/>
            <w:vAlign w:val="center"/>
          </w:tcPr>
          <w:p>
            <w:pPr>
              <w:pStyle w:val="TableContents"/>
              <w:bidi w:val="0"/>
              <w:spacing w:before="0" w:after="283"/>
              <w:jc w:val="left"/>
              <w:rPr>
                <w:b/>
              </w:rPr>
            </w:pPr>
            <w:r>
              <w:rPr>
                <w:b/>
              </w:rPr>
              <w:t>Corporate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25.1</w:t>
            </w:r>
          </w:p>
        </w:tc>
        <w:tc>
          <w:tcPr>
            <w:tcW w:w="9750" w:type="dxa"/>
            <w:tcBorders/>
            <w:vAlign w:val="center"/>
          </w:tcPr>
          <w:p>
            <w:pPr>
              <w:pStyle w:val="TableContents"/>
              <w:bidi w:val="0"/>
              <w:spacing w:before="0" w:after="283"/>
              <w:jc w:val="both"/>
              <w:rPr/>
            </w:pPr>
            <w:r>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25.2</w:t>
            </w:r>
          </w:p>
        </w:tc>
        <w:tc>
          <w:tcPr>
            <w:tcW w:w="9750" w:type="dxa"/>
            <w:tcBorders/>
            <w:vAlign w:val="center"/>
          </w:tcPr>
          <w:p>
            <w:pPr>
              <w:pStyle w:val="TableContents"/>
              <w:bidi w:val="0"/>
              <w:spacing w:before="0" w:after="283"/>
              <w:jc w:val="both"/>
              <w:rPr/>
            </w:pPr>
            <w:r>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75"/>
        <w:gridCol w:w="3125"/>
      </w:tblGrid>
      <w:tr>
        <w:trPr/>
        <w:tc>
          <w:tcPr>
            <w:tcW w:w="275" w:type="dxa"/>
            <w:tcBorders/>
            <w:vAlign w:val="center"/>
          </w:tcPr>
          <w:p>
            <w:pPr>
              <w:pStyle w:val="TableContents"/>
              <w:bidi w:val="0"/>
              <w:spacing w:before="0" w:after="283"/>
              <w:jc w:val="left"/>
              <w:rPr>
                <w:b/>
              </w:rPr>
            </w:pPr>
            <w:r>
              <w:rPr>
                <w:b/>
              </w:rPr>
              <w:t>26</w:t>
            </w:r>
          </w:p>
        </w:tc>
        <w:tc>
          <w:tcPr>
            <w:tcW w:w="3125" w:type="dxa"/>
            <w:tcBorders/>
            <w:vAlign w:val="center"/>
          </w:tcPr>
          <w:p>
            <w:pPr>
              <w:pStyle w:val="TableContents"/>
              <w:bidi w:val="0"/>
              <w:spacing w:before="0" w:after="283"/>
              <w:jc w:val="left"/>
              <w:rPr>
                <w:b/>
              </w:rPr>
            </w:pPr>
            <w:r>
              <w:rPr>
                <w:b/>
              </w:rPr>
              <w:t>Shares that May Not be Voted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and other shares in the Company that are beneficially owned by the Company shall not be voted, directly or indirectly, at any meeting and shall not be counted in determining the total number of outstanding Shares at any given time.</w:t>
      </w:r>
    </w:p>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275"/>
        <w:gridCol w:w="980"/>
      </w:tblGrid>
      <w:tr>
        <w:trPr/>
        <w:tc>
          <w:tcPr>
            <w:tcW w:w="275" w:type="dxa"/>
            <w:tcBorders/>
            <w:vAlign w:val="center"/>
          </w:tcPr>
          <w:p>
            <w:pPr>
              <w:pStyle w:val="TableContents"/>
              <w:bidi w:val="0"/>
              <w:spacing w:before="0" w:after="283"/>
              <w:jc w:val="left"/>
              <w:rPr>
                <w:b/>
              </w:rPr>
            </w:pPr>
            <w:r>
              <w:rPr>
                <w:b/>
              </w:rPr>
              <w:t>27</w:t>
            </w:r>
          </w:p>
        </w:tc>
        <w:tc>
          <w:tcPr>
            <w:tcW w:w="980" w:type="dxa"/>
            <w:tcBorders/>
            <w:vAlign w:val="center"/>
          </w:tcPr>
          <w:p>
            <w:pPr>
              <w:pStyle w:val="TableContents"/>
              <w:bidi w:val="0"/>
              <w:spacing w:before="0" w:after="283"/>
              <w:jc w:val="left"/>
              <w:rPr>
                <w:b/>
              </w:rPr>
            </w:pPr>
            <w:r>
              <w:rPr>
                <w:b/>
              </w:rPr>
              <w:t>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27.1</w:t>
            </w:r>
          </w:p>
        </w:tc>
        <w:tc>
          <w:tcPr>
            <w:tcW w:w="9750" w:type="dxa"/>
            <w:tcBorders/>
            <w:vAlign w:val="center"/>
          </w:tcPr>
          <w:p>
            <w:pPr>
              <w:pStyle w:val="TableContents"/>
              <w:bidi w:val="0"/>
              <w:spacing w:before="0" w:after="283"/>
              <w:jc w:val="both"/>
              <w:rPr/>
            </w:pPr>
            <w:r>
              <w:rPr/>
              <w:t>There shall be a board of Directors consisting of not less than one Person provided however that the Company may by Ordinary Resolution increase or reduce the limits in the number of Directors.</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75"/>
        <w:gridCol w:w="2045"/>
      </w:tblGrid>
      <w:tr>
        <w:trPr/>
        <w:tc>
          <w:tcPr>
            <w:tcW w:w="275" w:type="dxa"/>
            <w:tcBorders/>
            <w:vAlign w:val="center"/>
          </w:tcPr>
          <w:p>
            <w:pPr>
              <w:pStyle w:val="TableContents"/>
              <w:bidi w:val="0"/>
              <w:spacing w:before="0" w:after="283"/>
              <w:jc w:val="left"/>
              <w:rPr>
                <w:b/>
              </w:rPr>
            </w:pPr>
            <w:r>
              <w:rPr>
                <w:b/>
              </w:rPr>
              <w:t>28</w:t>
            </w:r>
          </w:p>
        </w:tc>
        <w:tc>
          <w:tcPr>
            <w:tcW w:w="2045" w:type="dxa"/>
            <w:tcBorders/>
            <w:vAlign w:val="center"/>
          </w:tcPr>
          <w:p>
            <w:pPr>
              <w:pStyle w:val="TableContents"/>
              <w:bidi w:val="0"/>
              <w:spacing w:before="0" w:after="283"/>
              <w:jc w:val="left"/>
              <w:rPr>
                <w:b/>
              </w:rPr>
            </w:pPr>
            <w:r>
              <w:rPr>
                <w:b/>
              </w:rPr>
              <w:t>Powers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28.1</w:t>
            </w:r>
          </w:p>
        </w:tc>
        <w:tc>
          <w:tcPr>
            <w:tcW w:w="9750" w:type="dxa"/>
            <w:tcBorders/>
            <w:vAlign w:val="center"/>
          </w:tcPr>
          <w:p>
            <w:pPr>
              <w:pStyle w:val="TableContents"/>
              <w:bidi w:val="0"/>
              <w:spacing w:before="0" w:after="283"/>
              <w:jc w:val="both"/>
              <w:rPr/>
            </w:pPr>
            <w:r>
              <w:rPr/>
              <w:t>Subject to the provisions of the Statute, the Memorandum and the Articles and to any directions given by Ordinary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28.2</w:t>
            </w:r>
          </w:p>
        </w:tc>
        <w:tc>
          <w:tcPr>
            <w:tcW w:w="9750" w:type="dxa"/>
            <w:tcBorders/>
            <w:vAlign w:val="center"/>
          </w:tcPr>
          <w:p>
            <w:pPr>
              <w:pStyle w:val="TableContents"/>
              <w:bidi w:val="0"/>
              <w:spacing w:before="0" w:after="283"/>
              <w:jc w:val="both"/>
              <w:rPr/>
            </w:pPr>
            <w:r>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28.3</w:t>
            </w:r>
          </w:p>
        </w:tc>
        <w:tc>
          <w:tcPr>
            <w:tcW w:w="9750" w:type="dxa"/>
            <w:tcBorders/>
            <w:vAlign w:val="center"/>
          </w:tcPr>
          <w:p>
            <w:pPr>
              <w:pStyle w:val="TableContents"/>
              <w:bidi w:val="0"/>
              <w:spacing w:before="0" w:after="283"/>
              <w:jc w:val="both"/>
              <w:rPr/>
            </w:pPr>
            <w:r>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28.4</w:t>
            </w:r>
          </w:p>
        </w:tc>
        <w:tc>
          <w:tcPr>
            <w:tcW w:w="9750" w:type="dxa"/>
            <w:tcBorders/>
            <w:vAlign w:val="center"/>
          </w:tcPr>
          <w:p>
            <w:pPr>
              <w:pStyle w:val="TableContents"/>
              <w:bidi w:val="0"/>
              <w:spacing w:before="0" w:after="283"/>
              <w:jc w:val="both"/>
              <w:rPr/>
            </w:pPr>
            <w:r>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tc>
      </w:tr>
    </w:tbl>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275"/>
        <w:gridCol w:w="4055"/>
      </w:tblGrid>
      <w:tr>
        <w:trPr/>
        <w:tc>
          <w:tcPr>
            <w:tcW w:w="275" w:type="dxa"/>
            <w:tcBorders/>
            <w:vAlign w:val="center"/>
          </w:tcPr>
          <w:p>
            <w:pPr>
              <w:pStyle w:val="TableContents"/>
              <w:bidi w:val="0"/>
              <w:spacing w:before="0" w:after="283"/>
              <w:jc w:val="left"/>
              <w:rPr>
                <w:b/>
              </w:rPr>
            </w:pPr>
            <w:r>
              <w:rPr>
                <w:b/>
              </w:rPr>
              <w:t>29</w:t>
            </w:r>
          </w:p>
        </w:tc>
        <w:tc>
          <w:tcPr>
            <w:tcW w:w="4055" w:type="dxa"/>
            <w:tcBorders/>
            <w:vAlign w:val="center"/>
          </w:tcPr>
          <w:p>
            <w:pPr>
              <w:pStyle w:val="TableContents"/>
              <w:bidi w:val="0"/>
              <w:spacing w:before="0" w:after="283"/>
              <w:jc w:val="left"/>
              <w:rPr>
                <w:b/>
              </w:rPr>
            </w:pPr>
            <w:r>
              <w:rPr>
                <w:b/>
              </w:rPr>
              <w:t>Appointment and Removal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29.1</w:t>
            </w:r>
          </w:p>
        </w:tc>
        <w:tc>
          <w:tcPr>
            <w:tcW w:w="9750" w:type="dxa"/>
            <w:tcBorders/>
            <w:vAlign w:val="center"/>
          </w:tcPr>
          <w:p>
            <w:pPr>
              <w:pStyle w:val="TableContents"/>
              <w:bidi w:val="0"/>
              <w:spacing w:before="0" w:after="283"/>
              <w:jc w:val="both"/>
              <w:rPr/>
            </w:pPr>
            <w:r>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 or may remove any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29.2</w:t>
            </w:r>
          </w:p>
        </w:tc>
        <w:tc>
          <w:tcPr>
            <w:tcW w:w="9750" w:type="dxa"/>
            <w:tcBorders/>
            <w:vAlign w:val="center"/>
          </w:tcPr>
          <w:p>
            <w:pPr>
              <w:pStyle w:val="TableContents"/>
              <w:bidi w:val="0"/>
              <w:spacing w:before="0" w:after="283"/>
              <w:jc w:val="both"/>
              <w:rPr/>
            </w:pPr>
            <w:r>
              <w:rPr/>
              <w:t>The Company may by Ordinary Resolution appoint any Person to be a Director or may by Ordinary Resolution remove any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283"/>
              <w:jc w:val="left"/>
              <w:rPr>
                <w:b/>
              </w:rPr>
            </w:pPr>
            <w:r>
              <w:rPr>
                <w:b/>
              </w:rPr>
              <w:t>30</w:t>
            </w:r>
          </w:p>
        </w:tc>
        <w:tc>
          <w:tcPr>
            <w:tcW w:w="3035" w:type="dxa"/>
            <w:tcBorders/>
            <w:vAlign w:val="center"/>
          </w:tcPr>
          <w:p>
            <w:pPr>
              <w:pStyle w:val="TableContents"/>
              <w:bidi w:val="0"/>
              <w:spacing w:before="0" w:after="283"/>
              <w:jc w:val="left"/>
              <w:rPr>
                <w:b/>
              </w:rPr>
            </w:pPr>
            <w:r>
              <w:rPr>
                <w:b/>
              </w:rPr>
              <w:t>Vacation of Office of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these Articles, the office of a Director shall be vacated if:</w:t>
      </w:r>
    </w:p>
    <w:p>
      <w:pPr>
        <w:pStyle w:val="TextBody"/>
        <w:bidi w:val="0"/>
        <w:spacing w:before="0" w:after="0"/>
        <w:ind w:left="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275"/>
        <w:gridCol w:w="86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8660" w:type="dxa"/>
            <w:tcBorders/>
            <w:vAlign w:val="center"/>
          </w:tcPr>
          <w:p>
            <w:pPr>
              <w:pStyle w:val="TableContents"/>
              <w:bidi w:val="0"/>
              <w:spacing w:before="0" w:after="283"/>
              <w:jc w:val="both"/>
              <w:rPr/>
            </w:pPr>
            <w:r>
              <w:rPr/>
              <w:t>the Director gives notice in writing to the Company that he resigns the office of Director;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both"/>
              <w:rPr/>
            </w:pPr>
            <w:r>
              <w:rPr/>
              <w:t> </w:t>
            </w:r>
          </w:p>
        </w:tc>
        <w:tc>
          <w:tcPr>
            <w:tcW w:w="239" w:type="dxa"/>
            <w:tcBorders/>
            <w:vAlign w:val="center"/>
          </w:tcPr>
          <w:p>
            <w:pPr>
              <w:pStyle w:val="TableContents"/>
              <w:bidi w:val="0"/>
              <w:spacing w:before="0" w:after="283"/>
              <w:jc w:val="both"/>
              <w:rPr/>
            </w:pPr>
            <w:r>
              <w:rPr/>
              <w:t>(b)</w:t>
            </w:r>
          </w:p>
        </w:tc>
        <w:tc>
          <w:tcPr>
            <w:tcW w:w="9891" w:type="dxa"/>
            <w:tcBorders/>
            <w:vAlign w:val="center"/>
          </w:tcPr>
          <w:p>
            <w:pPr>
              <w:pStyle w:val="TableContents"/>
              <w:bidi w:val="0"/>
              <w:spacing w:before="0" w:after="283"/>
              <w:jc w:val="both"/>
              <w:rPr/>
            </w:pPr>
            <w:r>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both"/>
              <w:rPr/>
            </w:pPr>
            <w:r>
              <w:rPr/>
              <w:t> </w:t>
            </w:r>
          </w:p>
        </w:tc>
        <w:tc>
          <w:tcPr>
            <w:tcW w:w="270" w:type="dxa"/>
            <w:tcBorders/>
            <w:vAlign w:val="center"/>
          </w:tcPr>
          <w:p>
            <w:pPr>
              <w:pStyle w:val="TableContents"/>
              <w:bidi w:val="0"/>
              <w:spacing w:before="0" w:after="283"/>
              <w:jc w:val="both"/>
              <w:rPr/>
            </w:pPr>
            <w:r>
              <w:rPr/>
              <w:t>(c)</w:t>
            </w:r>
          </w:p>
        </w:tc>
        <w:tc>
          <w:tcPr>
            <w:tcW w:w="9860" w:type="dxa"/>
            <w:tcBorders/>
            <w:vAlign w:val="center"/>
          </w:tcPr>
          <w:p>
            <w:pPr>
              <w:pStyle w:val="TableContents"/>
              <w:bidi w:val="0"/>
              <w:spacing w:before="0" w:after="283"/>
              <w:jc w:val="both"/>
              <w:rPr/>
            </w:pPr>
            <w:r>
              <w:rPr/>
              <w:t>the Director dies, becomes bankrupt or makes any arrangement or composition with his creditors generally;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both"/>
              <w:rPr/>
            </w:pPr>
            <w:r>
              <w:rPr/>
              <w:t> </w:t>
            </w:r>
          </w:p>
        </w:tc>
        <w:tc>
          <w:tcPr>
            <w:tcW w:w="240" w:type="dxa"/>
            <w:tcBorders/>
            <w:vAlign w:val="center"/>
          </w:tcPr>
          <w:p>
            <w:pPr>
              <w:pStyle w:val="TableContents"/>
              <w:bidi w:val="0"/>
              <w:spacing w:before="0" w:after="283"/>
              <w:jc w:val="both"/>
              <w:rPr/>
            </w:pPr>
            <w:r>
              <w:rPr/>
              <w:t>(d)</w:t>
            </w:r>
          </w:p>
        </w:tc>
        <w:tc>
          <w:tcPr>
            <w:tcW w:w="9890" w:type="dxa"/>
            <w:tcBorders/>
            <w:vAlign w:val="center"/>
          </w:tcPr>
          <w:p>
            <w:pPr>
              <w:pStyle w:val="TableContents"/>
              <w:bidi w:val="0"/>
              <w:spacing w:before="0" w:after="283"/>
              <w:jc w:val="both"/>
              <w:rPr/>
            </w:pPr>
            <w:r>
              <w:rPr/>
              <w:t>a licensed medical practitioner who has evaluated that Director gives a written opinion to the Company stating he or she has become physically or mentally incapable of acting as a Director (with reasonable accommodations) and may remain so for more than three (3) months; or</w:t>
            </w:r>
          </w:p>
        </w:tc>
      </w:tr>
    </w:tbl>
    <w:p>
      <w:pPr>
        <w:pStyle w:val="TextBody"/>
        <w:bidi w:val="0"/>
        <w:spacing w:before="0" w:after="0"/>
        <w:ind w:left="0" w:right="0" w:hanging="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275"/>
        <w:gridCol w:w="8015"/>
      </w:tblGrid>
      <w:tr>
        <w:trPr/>
        <w:tc>
          <w:tcPr>
            <w:tcW w:w="7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(e)</w:t>
            </w:r>
          </w:p>
        </w:tc>
        <w:tc>
          <w:tcPr>
            <w:tcW w:w="8015" w:type="dxa"/>
            <w:tcBorders/>
            <w:vAlign w:val="center"/>
          </w:tcPr>
          <w:p>
            <w:pPr>
              <w:pStyle w:val="TableContents"/>
              <w:bidi w:val="0"/>
              <w:spacing w:before="0" w:after="283"/>
              <w:jc w:val="both"/>
              <w:rPr/>
            </w:pPr>
            <w:r>
              <w:rPr/>
              <w:t>the Director is removed from office pursuant to any other provision of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75"/>
        <w:gridCol w:w="2525"/>
      </w:tblGrid>
      <w:tr>
        <w:trPr/>
        <w:tc>
          <w:tcPr>
            <w:tcW w:w="275" w:type="dxa"/>
            <w:tcBorders/>
            <w:vAlign w:val="center"/>
          </w:tcPr>
          <w:p>
            <w:pPr>
              <w:pStyle w:val="TableContents"/>
              <w:bidi w:val="0"/>
              <w:spacing w:before="0" w:after="283"/>
              <w:jc w:val="left"/>
              <w:rPr>
                <w:b/>
              </w:rPr>
            </w:pPr>
            <w:r>
              <w:rPr>
                <w:b/>
              </w:rPr>
              <w:t>31</w:t>
            </w:r>
          </w:p>
        </w:tc>
        <w:tc>
          <w:tcPr>
            <w:tcW w:w="2525" w:type="dxa"/>
            <w:tcBorders/>
            <w:vAlign w:val="center"/>
          </w:tcPr>
          <w:p>
            <w:pPr>
              <w:pStyle w:val="TableContents"/>
              <w:bidi w:val="0"/>
              <w:spacing w:before="0" w:after="283"/>
              <w:jc w:val="left"/>
              <w:rPr>
                <w:b/>
              </w:rPr>
            </w:pPr>
            <w:r>
              <w:rPr>
                <w:b/>
              </w:rPr>
              <w:t>Proceedings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31.1</w:t>
            </w:r>
          </w:p>
        </w:tc>
        <w:tc>
          <w:tcPr>
            <w:tcW w:w="9750" w:type="dxa"/>
            <w:tcBorders/>
            <w:vAlign w:val="center"/>
          </w:tcPr>
          <w:p>
            <w:pPr>
              <w:pStyle w:val="TableContents"/>
              <w:bidi w:val="0"/>
              <w:spacing w:before="0" w:after="283"/>
              <w:jc w:val="both"/>
              <w:rPr/>
            </w:pPr>
            <w:r>
              <w:rPr/>
              <w:t>The quorum for the transaction of the business of the Directors may be fixed by the Directors, and unless so fixed shall be a majority of the Directors then in office.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31.2</w:t>
            </w:r>
          </w:p>
        </w:tc>
        <w:tc>
          <w:tcPr>
            <w:tcW w:w="9750" w:type="dxa"/>
            <w:tcBorders/>
            <w:vAlign w:val="center"/>
          </w:tcPr>
          <w:p>
            <w:pPr>
              <w:pStyle w:val="TableContents"/>
              <w:bidi w:val="0"/>
              <w:spacing w:before="0" w:after="283"/>
              <w:jc w:val="both"/>
              <w:rPr/>
            </w:pPr>
            <w:r>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31.3</w:t>
            </w:r>
          </w:p>
        </w:tc>
        <w:tc>
          <w:tcPr>
            <w:tcW w:w="9750" w:type="dxa"/>
            <w:tcBorders/>
            <w:vAlign w:val="center"/>
          </w:tcPr>
          <w:p>
            <w:pPr>
              <w:pStyle w:val="TableContents"/>
              <w:bidi w:val="0"/>
              <w:spacing w:before="0" w:after="283"/>
              <w:jc w:val="both"/>
              <w:rPr/>
            </w:pPr>
            <w:r>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31.4</w:t>
            </w:r>
          </w:p>
        </w:tc>
        <w:tc>
          <w:tcPr>
            <w:tcW w:w="9750" w:type="dxa"/>
            <w:tcBorders/>
            <w:vAlign w:val="center"/>
          </w:tcPr>
          <w:p>
            <w:pPr>
              <w:pStyle w:val="TableContents"/>
              <w:bidi w:val="0"/>
              <w:spacing w:before="0" w:after="283"/>
              <w:jc w:val="both"/>
              <w:rPr/>
            </w:pPr>
            <w:r>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31.5</w:t>
            </w:r>
          </w:p>
        </w:tc>
        <w:tc>
          <w:tcPr>
            <w:tcW w:w="9750" w:type="dxa"/>
            <w:tcBorders/>
            <w:vAlign w:val="center"/>
          </w:tcPr>
          <w:p>
            <w:pPr>
              <w:pStyle w:val="TableContents"/>
              <w:bidi w:val="0"/>
              <w:spacing w:before="0" w:after="283"/>
              <w:jc w:val="both"/>
              <w:rPr/>
            </w:pPr>
            <w:r>
              <w:rPr/>
              <w:t>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i/>
              </w:rPr>
              <w:t>mutatis mutandis.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31.6</w:t>
            </w:r>
          </w:p>
        </w:tc>
        <w:tc>
          <w:tcPr>
            <w:tcW w:w="9750" w:type="dxa"/>
            <w:tcBorders/>
            <w:vAlign w:val="center"/>
          </w:tcPr>
          <w:p>
            <w:pPr>
              <w:pStyle w:val="TableContents"/>
              <w:bidi w:val="0"/>
              <w:spacing w:before="0" w:after="283"/>
              <w:jc w:val="both"/>
              <w:rPr/>
            </w:pPr>
            <w:r>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31.7</w:t>
            </w:r>
          </w:p>
        </w:tc>
        <w:tc>
          <w:tcPr>
            <w:tcW w:w="9750" w:type="dxa"/>
            <w:tcBorders/>
            <w:vAlign w:val="center"/>
          </w:tcPr>
          <w:p>
            <w:pPr>
              <w:pStyle w:val="TableContents"/>
              <w:bidi w:val="0"/>
              <w:spacing w:before="0" w:after="283"/>
              <w:jc w:val="both"/>
              <w:rPr/>
            </w:pPr>
            <w:r>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31.8</w:t>
            </w:r>
          </w:p>
        </w:tc>
        <w:tc>
          <w:tcPr>
            <w:tcW w:w="9750" w:type="dxa"/>
            <w:tcBorders/>
            <w:vAlign w:val="center"/>
          </w:tcPr>
          <w:p>
            <w:pPr>
              <w:pStyle w:val="TableContents"/>
              <w:bidi w:val="0"/>
              <w:spacing w:before="0" w:after="283"/>
              <w:jc w:val="both"/>
              <w:rPr/>
            </w:pPr>
            <w:r>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31.9</w:t>
            </w:r>
          </w:p>
        </w:tc>
        <w:tc>
          <w:tcPr>
            <w:tcW w:w="9750" w:type="dxa"/>
            <w:tcBorders/>
            <w:vAlign w:val="center"/>
          </w:tcPr>
          <w:p>
            <w:pPr>
              <w:pStyle w:val="TableContents"/>
              <w:bidi w:val="0"/>
              <w:spacing w:before="0" w:after="283"/>
              <w:jc w:val="both"/>
              <w:rPr/>
            </w:pPr>
            <w:r>
              <w:rPr/>
              <w:t>A Director may be represented at any meetings of the board of Directors by a proxy appointed in writing by him. The proxy shall count towards the quorum and the vote of the proxy shall for all purposes be deemed to be that of the appointing Director.</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75"/>
        <w:gridCol w:w="2330"/>
      </w:tblGrid>
      <w:tr>
        <w:trPr/>
        <w:tc>
          <w:tcPr>
            <w:tcW w:w="275" w:type="dxa"/>
            <w:tcBorders/>
            <w:vAlign w:val="center"/>
          </w:tcPr>
          <w:p>
            <w:pPr>
              <w:pStyle w:val="TableContents"/>
              <w:bidi w:val="0"/>
              <w:spacing w:before="0" w:after="283"/>
              <w:jc w:val="left"/>
              <w:rPr>
                <w:b/>
              </w:rPr>
            </w:pPr>
            <w:r>
              <w:rPr>
                <w:b/>
              </w:rPr>
              <w:t>32</w:t>
            </w:r>
          </w:p>
        </w:tc>
        <w:tc>
          <w:tcPr>
            <w:tcW w:w="2330" w:type="dxa"/>
            <w:tcBorders/>
            <w:vAlign w:val="center"/>
          </w:tcPr>
          <w:p>
            <w:pPr>
              <w:pStyle w:val="TableContents"/>
              <w:bidi w:val="0"/>
              <w:spacing w:before="0" w:after="283"/>
              <w:jc w:val="left"/>
              <w:rPr>
                <w:b/>
              </w:rPr>
            </w:pPr>
            <w:r>
              <w:rPr>
                <w:b/>
              </w:rPr>
              <w:t>Presumption of Assent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75"/>
        <w:gridCol w:w="1985"/>
      </w:tblGrid>
      <w:tr>
        <w:trPr/>
        <w:tc>
          <w:tcPr>
            <w:tcW w:w="275" w:type="dxa"/>
            <w:tcBorders/>
            <w:vAlign w:val="center"/>
          </w:tcPr>
          <w:p>
            <w:pPr>
              <w:pStyle w:val="TableContents"/>
              <w:bidi w:val="0"/>
              <w:spacing w:before="0" w:after="283"/>
              <w:jc w:val="left"/>
              <w:rPr>
                <w:b/>
              </w:rPr>
            </w:pPr>
            <w:r>
              <w:rPr>
                <w:b/>
              </w:rPr>
              <w:t>33</w:t>
            </w:r>
          </w:p>
        </w:tc>
        <w:tc>
          <w:tcPr>
            <w:tcW w:w="1985" w:type="dxa"/>
            <w:tcBorders/>
            <w:vAlign w:val="center"/>
          </w:tcPr>
          <w:p>
            <w:pPr>
              <w:pStyle w:val="TableContents"/>
              <w:bidi w:val="0"/>
              <w:spacing w:before="0" w:after="283"/>
              <w:jc w:val="left"/>
              <w:rPr>
                <w:b/>
              </w:rPr>
            </w:pPr>
            <w:r>
              <w:rPr>
                <w:b/>
              </w:rPr>
              <w:t>Directors’ 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33.1</w:t>
            </w:r>
          </w:p>
        </w:tc>
        <w:tc>
          <w:tcPr>
            <w:tcW w:w="9750" w:type="dxa"/>
            <w:tcBorders/>
            <w:vAlign w:val="center"/>
          </w:tcPr>
          <w:p>
            <w:pPr>
              <w:pStyle w:val="TableContents"/>
              <w:bidi w:val="0"/>
              <w:spacing w:before="0" w:after="283"/>
              <w:jc w:val="both"/>
              <w:rPr/>
            </w:pPr>
            <w:r>
              <w:rPr/>
              <w:t>A Director may hold any other office or place of profit under the Company (other than the office of Auditor) in conjunction with his office of Director for such period and on such terms as to remuneration and otherwise as the Directors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33.2</w:t>
            </w:r>
          </w:p>
        </w:tc>
        <w:tc>
          <w:tcPr>
            <w:tcW w:w="9750" w:type="dxa"/>
            <w:tcBorders/>
            <w:vAlign w:val="center"/>
          </w:tcPr>
          <w:p>
            <w:pPr>
              <w:pStyle w:val="TableContents"/>
              <w:bidi w:val="0"/>
              <w:spacing w:before="0" w:after="283"/>
              <w:jc w:val="both"/>
              <w:rPr/>
            </w:pPr>
            <w:r>
              <w:rPr/>
              <w:t>A Director may act by himself or by, through or on behalf of his firm in a professional capacity for the Company and he or his firm shall be entitled to remuneration for professional services as if he were not a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33.3</w:t>
            </w:r>
          </w:p>
        </w:tc>
        <w:tc>
          <w:tcPr>
            <w:tcW w:w="9750" w:type="dxa"/>
            <w:tcBorders/>
            <w:vAlign w:val="center"/>
          </w:tcPr>
          <w:p>
            <w:pPr>
              <w:pStyle w:val="TableContents"/>
              <w:bidi w:val="0"/>
              <w:spacing w:before="0" w:after="283"/>
              <w:jc w:val="both"/>
              <w:rPr/>
            </w:pPr>
            <w:r>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33.4</w:t>
            </w:r>
          </w:p>
        </w:tc>
        <w:tc>
          <w:tcPr>
            <w:tcW w:w="9750" w:type="dxa"/>
            <w:tcBorders/>
            <w:vAlign w:val="center"/>
          </w:tcPr>
          <w:p>
            <w:pPr>
              <w:pStyle w:val="TableContents"/>
              <w:bidi w:val="0"/>
              <w:spacing w:before="0" w:after="283"/>
              <w:jc w:val="both"/>
              <w:rPr/>
            </w:pPr>
            <w:r>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33.5</w:t>
            </w:r>
          </w:p>
        </w:tc>
        <w:tc>
          <w:tcPr>
            <w:tcW w:w="9750" w:type="dxa"/>
            <w:tcBorders/>
            <w:vAlign w:val="center"/>
          </w:tcPr>
          <w:p>
            <w:pPr>
              <w:pStyle w:val="TableContents"/>
              <w:bidi w:val="0"/>
              <w:spacing w:before="0" w:after="283"/>
              <w:jc w:val="both"/>
              <w:rPr/>
            </w:pPr>
            <w:r>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tc>
      </w:tr>
    </w:tbl>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275"/>
        <w:gridCol w:w="860"/>
      </w:tblGrid>
      <w:tr>
        <w:trPr/>
        <w:tc>
          <w:tcPr>
            <w:tcW w:w="275" w:type="dxa"/>
            <w:tcBorders/>
            <w:vAlign w:val="center"/>
          </w:tcPr>
          <w:p>
            <w:pPr>
              <w:pStyle w:val="TableContents"/>
              <w:bidi w:val="0"/>
              <w:spacing w:before="0" w:after="283"/>
              <w:jc w:val="left"/>
              <w:rPr>
                <w:b/>
              </w:rPr>
            </w:pPr>
            <w:r>
              <w:rPr>
                <w:b/>
              </w:rPr>
              <w:t>34</w:t>
            </w:r>
          </w:p>
        </w:tc>
        <w:tc>
          <w:tcPr>
            <w:tcW w:w="860" w:type="dxa"/>
            <w:tcBorders/>
            <w:vAlign w:val="center"/>
          </w:tcPr>
          <w:p>
            <w:pPr>
              <w:pStyle w:val="TableContents"/>
              <w:bidi w:val="0"/>
              <w:spacing w:before="0" w:after="283"/>
              <w:jc w:val="left"/>
              <w:rPr>
                <w:b/>
              </w:rPr>
            </w:pPr>
            <w:r>
              <w:rPr>
                <w:b/>
              </w:rPr>
              <w:t>Minutes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75"/>
        <w:gridCol w:w="3260"/>
      </w:tblGrid>
      <w:tr>
        <w:trPr/>
        <w:tc>
          <w:tcPr>
            <w:tcW w:w="275" w:type="dxa"/>
            <w:tcBorders/>
            <w:vAlign w:val="center"/>
          </w:tcPr>
          <w:p>
            <w:pPr>
              <w:pStyle w:val="TableContents"/>
              <w:bidi w:val="0"/>
              <w:spacing w:before="0" w:after="283"/>
              <w:jc w:val="left"/>
              <w:rPr>
                <w:b/>
              </w:rPr>
            </w:pPr>
            <w:r>
              <w:rPr>
                <w:b/>
              </w:rPr>
              <w:t>35</w:t>
            </w:r>
          </w:p>
        </w:tc>
        <w:tc>
          <w:tcPr>
            <w:tcW w:w="3260" w:type="dxa"/>
            <w:tcBorders/>
            <w:vAlign w:val="center"/>
          </w:tcPr>
          <w:p>
            <w:pPr>
              <w:pStyle w:val="TableContents"/>
              <w:bidi w:val="0"/>
              <w:spacing w:before="0" w:after="283"/>
              <w:jc w:val="left"/>
              <w:rPr>
                <w:b/>
              </w:rPr>
            </w:pPr>
            <w:r>
              <w:rPr>
                <w:b/>
              </w:rPr>
              <w:t>Delegation of Directors’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35.1</w:t>
            </w:r>
          </w:p>
        </w:tc>
        <w:tc>
          <w:tcPr>
            <w:tcW w:w="9750" w:type="dxa"/>
            <w:tcBorders/>
            <w:vAlign w:val="center"/>
          </w:tcPr>
          <w:p>
            <w:pPr>
              <w:pStyle w:val="TableContents"/>
              <w:bidi w:val="0"/>
              <w:spacing w:before="0" w:after="283"/>
              <w:jc w:val="both"/>
              <w:rPr/>
            </w:pPr>
            <w:r>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35.2</w:t>
            </w:r>
          </w:p>
        </w:tc>
        <w:tc>
          <w:tcPr>
            <w:tcW w:w="9750" w:type="dxa"/>
            <w:tcBorders/>
            <w:vAlign w:val="center"/>
          </w:tcPr>
          <w:p>
            <w:pPr>
              <w:pStyle w:val="TableContents"/>
              <w:bidi w:val="0"/>
              <w:spacing w:before="0" w:after="283"/>
              <w:jc w:val="both"/>
              <w:rPr/>
            </w:pPr>
            <w:r>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35.3</w:t>
            </w:r>
          </w:p>
        </w:tc>
        <w:tc>
          <w:tcPr>
            <w:tcW w:w="9750" w:type="dxa"/>
            <w:tcBorders/>
            <w:vAlign w:val="center"/>
          </w:tcPr>
          <w:p>
            <w:pPr>
              <w:pStyle w:val="TableContents"/>
              <w:bidi w:val="0"/>
              <w:spacing w:before="0" w:after="283"/>
              <w:jc w:val="both"/>
              <w:rPr/>
            </w:pPr>
            <w:r>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35.4</w:t>
            </w:r>
          </w:p>
        </w:tc>
        <w:tc>
          <w:tcPr>
            <w:tcW w:w="9750" w:type="dxa"/>
            <w:tcBorders/>
            <w:vAlign w:val="center"/>
          </w:tcPr>
          <w:p>
            <w:pPr>
              <w:pStyle w:val="TableContents"/>
              <w:bidi w:val="0"/>
              <w:spacing w:before="0" w:after="283"/>
              <w:jc w:val="both"/>
              <w:rPr/>
            </w:pPr>
            <w:r>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35.5</w:t>
            </w:r>
          </w:p>
        </w:tc>
        <w:tc>
          <w:tcPr>
            <w:tcW w:w="9750" w:type="dxa"/>
            <w:tcBorders/>
            <w:vAlign w:val="center"/>
          </w:tcPr>
          <w:p>
            <w:pPr>
              <w:pStyle w:val="TableContents"/>
              <w:bidi w:val="0"/>
              <w:spacing w:before="0" w:after="283"/>
              <w:jc w:val="both"/>
              <w:rPr/>
            </w:pPr>
            <w:r>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35.6</w:t>
            </w:r>
          </w:p>
        </w:tc>
        <w:tc>
          <w:tcPr>
            <w:tcW w:w="9750" w:type="dxa"/>
            <w:tcBorders/>
            <w:vAlign w:val="center"/>
          </w:tcPr>
          <w:p>
            <w:pPr>
              <w:pStyle w:val="TableContents"/>
              <w:bidi w:val="0"/>
              <w:spacing w:before="0" w:after="283"/>
              <w:jc w:val="both"/>
              <w:rPr/>
            </w:pPr>
            <w:r>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tc>
      </w:tr>
    </w:tbl>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75"/>
        <w:gridCol w:w="2825"/>
      </w:tblGrid>
      <w:tr>
        <w:trPr/>
        <w:tc>
          <w:tcPr>
            <w:tcW w:w="275" w:type="dxa"/>
            <w:tcBorders/>
            <w:vAlign w:val="center"/>
          </w:tcPr>
          <w:p>
            <w:pPr>
              <w:pStyle w:val="TableContents"/>
              <w:bidi w:val="0"/>
              <w:spacing w:before="0" w:after="283"/>
              <w:jc w:val="left"/>
              <w:rPr>
                <w:b/>
              </w:rPr>
            </w:pPr>
            <w:r>
              <w:rPr>
                <w:b/>
              </w:rPr>
              <w:t>36</w:t>
            </w:r>
          </w:p>
        </w:tc>
        <w:tc>
          <w:tcPr>
            <w:tcW w:w="2825" w:type="dxa"/>
            <w:tcBorders/>
            <w:vAlign w:val="center"/>
          </w:tcPr>
          <w:p>
            <w:pPr>
              <w:pStyle w:val="TableContents"/>
              <w:bidi w:val="0"/>
              <w:spacing w:before="0" w:after="283"/>
              <w:jc w:val="left"/>
              <w:rPr>
                <w:b/>
              </w:rPr>
            </w:pPr>
            <w:r>
              <w:rPr>
                <w:b/>
              </w:rPr>
              <w:t>No Minimum Shareholding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general meeting may fix a minimum shareholding required to be held by a Director, but unless and until such a shareholding qualification is fixed a Director is not required to hold Shares.</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75"/>
        <w:gridCol w:w="2765"/>
      </w:tblGrid>
      <w:tr>
        <w:trPr/>
        <w:tc>
          <w:tcPr>
            <w:tcW w:w="275" w:type="dxa"/>
            <w:tcBorders/>
            <w:vAlign w:val="center"/>
          </w:tcPr>
          <w:p>
            <w:pPr>
              <w:pStyle w:val="TableContents"/>
              <w:bidi w:val="0"/>
              <w:spacing w:before="0" w:after="283"/>
              <w:jc w:val="left"/>
              <w:rPr>
                <w:b/>
              </w:rPr>
            </w:pPr>
            <w:r>
              <w:rPr>
                <w:b/>
              </w:rPr>
              <w:t>37</w:t>
            </w:r>
          </w:p>
        </w:tc>
        <w:tc>
          <w:tcPr>
            <w:tcW w:w="2765" w:type="dxa"/>
            <w:tcBorders/>
            <w:vAlign w:val="center"/>
          </w:tcPr>
          <w:p>
            <w:pPr>
              <w:pStyle w:val="TableContents"/>
              <w:bidi w:val="0"/>
              <w:spacing w:before="0" w:after="283"/>
              <w:jc w:val="left"/>
              <w:rPr>
                <w:b/>
              </w:rPr>
            </w:pPr>
            <w:r>
              <w:rPr>
                <w:b/>
              </w:rPr>
              <w:t>Remuneration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37.1</w:t>
            </w:r>
          </w:p>
        </w:tc>
        <w:tc>
          <w:tcPr>
            <w:tcW w:w="9750" w:type="dxa"/>
            <w:tcBorders/>
            <w:vAlign w:val="center"/>
          </w:tcPr>
          <w:p>
            <w:pPr>
              <w:pStyle w:val="TableContents"/>
              <w:bidi w:val="0"/>
              <w:spacing w:before="0" w:after="283"/>
              <w:jc w:val="both"/>
              <w:rPr/>
            </w:pPr>
            <w:r>
              <w:rPr/>
              <w:t>The remuneration to be paid to the Directors, if any, shall be such remuneration as the Directors shall determine. The Directors shall also be entitled to be paid all travelling, hotel and other expenses properly and reasonably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37.2</w:t>
            </w:r>
          </w:p>
        </w:tc>
        <w:tc>
          <w:tcPr>
            <w:tcW w:w="9750" w:type="dxa"/>
            <w:tcBorders/>
            <w:vAlign w:val="center"/>
          </w:tcPr>
          <w:p>
            <w:pPr>
              <w:pStyle w:val="TableContents"/>
              <w:bidi w:val="0"/>
              <w:spacing w:before="0" w:after="283"/>
              <w:jc w:val="both"/>
              <w:rPr/>
            </w:pPr>
            <w:r>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275"/>
        <w:gridCol w:w="455"/>
      </w:tblGrid>
      <w:tr>
        <w:trPr/>
        <w:tc>
          <w:tcPr>
            <w:tcW w:w="275" w:type="dxa"/>
            <w:tcBorders/>
            <w:vAlign w:val="center"/>
          </w:tcPr>
          <w:p>
            <w:pPr>
              <w:pStyle w:val="TableContents"/>
              <w:bidi w:val="0"/>
              <w:spacing w:before="0" w:after="283"/>
              <w:jc w:val="left"/>
              <w:rPr>
                <w:b/>
              </w:rPr>
            </w:pPr>
            <w:r>
              <w:rPr>
                <w:b/>
              </w:rPr>
              <w:t>38</w:t>
            </w:r>
          </w:p>
        </w:tc>
        <w:tc>
          <w:tcPr>
            <w:tcW w:w="455" w:type="dxa"/>
            <w:tcBorders/>
            <w:vAlign w:val="center"/>
          </w:tcPr>
          <w:p>
            <w:pPr>
              <w:pStyle w:val="TableContents"/>
              <w:bidi w:val="0"/>
              <w:spacing w:before="0" w:after="283"/>
              <w:jc w:val="left"/>
              <w:rPr>
                <w:b/>
              </w:rPr>
            </w:pPr>
            <w:r>
              <w:rPr>
                <w:b/>
              </w:rPr>
              <w:t>Seal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38.1</w:t>
            </w:r>
          </w:p>
        </w:tc>
        <w:tc>
          <w:tcPr>
            <w:tcW w:w="9750" w:type="dxa"/>
            <w:tcBorders/>
            <w:vAlign w:val="center"/>
          </w:tcPr>
          <w:p>
            <w:pPr>
              <w:pStyle w:val="TableContents"/>
              <w:bidi w:val="0"/>
              <w:spacing w:before="0" w:after="283"/>
              <w:jc w:val="both"/>
              <w:rPr/>
            </w:pPr>
            <w:r>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38.2</w:t>
            </w:r>
          </w:p>
        </w:tc>
        <w:tc>
          <w:tcPr>
            <w:tcW w:w="9750" w:type="dxa"/>
            <w:tcBorders/>
            <w:vAlign w:val="center"/>
          </w:tcPr>
          <w:p>
            <w:pPr>
              <w:pStyle w:val="TableContents"/>
              <w:bidi w:val="0"/>
              <w:spacing w:before="0" w:after="283"/>
              <w:jc w:val="both"/>
              <w:rPr/>
            </w:pPr>
            <w:r>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38.3</w:t>
            </w:r>
          </w:p>
        </w:tc>
        <w:tc>
          <w:tcPr>
            <w:tcW w:w="9750" w:type="dxa"/>
            <w:tcBorders/>
            <w:vAlign w:val="center"/>
          </w:tcPr>
          <w:p>
            <w:pPr>
              <w:pStyle w:val="TableContents"/>
              <w:bidi w:val="0"/>
              <w:spacing w:before="0" w:after="283"/>
              <w:jc w:val="both"/>
              <w:rPr/>
            </w:pPr>
            <w:r>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75"/>
        <w:gridCol w:w="3815"/>
      </w:tblGrid>
      <w:tr>
        <w:trPr/>
        <w:tc>
          <w:tcPr>
            <w:tcW w:w="275" w:type="dxa"/>
            <w:tcBorders/>
            <w:vAlign w:val="center"/>
          </w:tcPr>
          <w:p>
            <w:pPr>
              <w:pStyle w:val="TableContents"/>
              <w:bidi w:val="0"/>
              <w:spacing w:before="0" w:after="283"/>
              <w:jc w:val="left"/>
              <w:rPr>
                <w:b/>
              </w:rPr>
            </w:pPr>
            <w:r>
              <w:rPr>
                <w:b/>
              </w:rPr>
              <w:t>39</w:t>
            </w:r>
          </w:p>
        </w:tc>
        <w:tc>
          <w:tcPr>
            <w:tcW w:w="3815" w:type="dxa"/>
            <w:tcBorders/>
            <w:vAlign w:val="center"/>
          </w:tcPr>
          <w:p>
            <w:pPr>
              <w:pStyle w:val="TableContents"/>
              <w:bidi w:val="0"/>
              <w:spacing w:before="0" w:after="283"/>
              <w:jc w:val="left"/>
              <w:rPr>
                <w:b/>
              </w:rPr>
            </w:pPr>
            <w:r>
              <w:rPr>
                <w:b/>
              </w:rPr>
              <w:t>Dividends, Distributions and Reserve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39.1</w:t>
            </w:r>
          </w:p>
        </w:tc>
        <w:tc>
          <w:tcPr>
            <w:tcW w:w="9750" w:type="dxa"/>
            <w:tcBorders/>
            <w:vAlign w:val="center"/>
          </w:tcPr>
          <w:p>
            <w:pPr>
              <w:pStyle w:val="TableContents"/>
              <w:bidi w:val="0"/>
              <w:spacing w:before="0" w:after="283"/>
              <w:jc w:val="both"/>
              <w:rPr/>
            </w:pPr>
            <w:r>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 Notwithstanding anything contained in these Articles, no Dividend shall be made on any Class A Shares unless a Dividend in equal proportion is made on the Class B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39.2</w:t>
            </w:r>
          </w:p>
        </w:tc>
        <w:tc>
          <w:tcPr>
            <w:tcW w:w="9750" w:type="dxa"/>
            <w:tcBorders/>
            <w:vAlign w:val="center"/>
          </w:tcPr>
          <w:p>
            <w:pPr>
              <w:pStyle w:val="TableContents"/>
              <w:bidi w:val="0"/>
              <w:spacing w:before="0" w:after="283"/>
              <w:jc w:val="both"/>
              <w:rPr/>
            </w:pPr>
            <w:r>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39.3</w:t>
            </w:r>
          </w:p>
        </w:tc>
        <w:tc>
          <w:tcPr>
            <w:tcW w:w="9750" w:type="dxa"/>
            <w:tcBorders/>
            <w:vAlign w:val="center"/>
          </w:tcPr>
          <w:p>
            <w:pPr>
              <w:pStyle w:val="TableContents"/>
              <w:bidi w:val="0"/>
              <w:spacing w:before="0" w:after="283"/>
              <w:jc w:val="both"/>
              <w:rPr/>
            </w:pPr>
            <w:r>
              <w:rPr/>
              <w:t>The Directors may deduct from any Dividend or other distribution payable to any Member all sums of money (if any) then payable by him to the Company on account of calls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39.4</w:t>
            </w:r>
          </w:p>
        </w:tc>
        <w:tc>
          <w:tcPr>
            <w:tcW w:w="9750" w:type="dxa"/>
            <w:tcBorders/>
            <w:vAlign w:val="center"/>
          </w:tcPr>
          <w:p>
            <w:pPr>
              <w:pStyle w:val="TableContents"/>
              <w:bidi w:val="0"/>
              <w:spacing w:before="0" w:after="283"/>
              <w:jc w:val="both"/>
              <w:rPr/>
            </w:pPr>
            <w:r>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39.5</w:t>
            </w:r>
          </w:p>
        </w:tc>
        <w:tc>
          <w:tcPr>
            <w:tcW w:w="9750" w:type="dxa"/>
            <w:tcBorders/>
            <w:vAlign w:val="center"/>
          </w:tcPr>
          <w:p>
            <w:pPr>
              <w:pStyle w:val="TableContents"/>
              <w:bidi w:val="0"/>
              <w:spacing w:before="0" w:after="283"/>
              <w:jc w:val="both"/>
              <w:rPr/>
            </w:pPr>
            <w:r>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39.6</w:t>
            </w:r>
          </w:p>
        </w:tc>
        <w:tc>
          <w:tcPr>
            <w:tcW w:w="9750" w:type="dxa"/>
            <w:tcBorders/>
            <w:vAlign w:val="center"/>
          </w:tcPr>
          <w:p>
            <w:pPr>
              <w:pStyle w:val="TableContents"/>
              <w:bidi w:val="0"/>
              <w:spacing w:before="0" w:after="283"/>
              <w:jc w:val="both"/>
              <w:rPr/>
            </w:pPr>
            <w:r>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39.7</w:t>
            </w:r>
          </w:p>
        </w:tc>
        <w:tc>
          <w:tcPr>
            <w:tcW w:w="9750" w:type="dxa"/>
            <w:tcBorders/>
            <w:vAlign w:val="center"/>
          </w:tcPr>
          <w:p>
            <w:pPr>
              <w:pStyle w:val="TableContents"/>
              <w:bidi w:val="0"/>
              <w:spacing w:before="0" w:after="283"/>
              <w:jc w:val="both"/>
              <w:rPr/>
            </w:pPr>
            <w:r>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39.8</w:t>
            </w:r>
          </w:p>
        </w:tc>
        <w:tc>
          <w:tcPr>
            <w:tcW w:w="9750" w:type="dxa"/>
            <w:tcBorders/>
            <w:vAlign w:val="center"/>
          </w:tcPr>
          <w:p>
            <w:pPr>
              <w:pStyle w:val="TableContents"/>
              <w:bidi w:val="0"/>
              <w:spacing w:before="0" w:after="283"/>
              <w:jc w:val="both"/>
              <w:rPr/>
            </w:pPr>
            <w:r>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before="0" w:after="283"/>
              <w:jc w:val="left"/>
              <w:rPr>
                <w:b/>
              </w:rPr>
            </w:pPr>
            <w:r>
              <w:rPr>
                <w:b/>
              </w:rPr>
              <w:t>40</w:t>
            </w:r>
          </w:p>
        </w:tc>
        <w:tc>
          <w:tcPr>
            <w:tcW w:w="1445" w:type="dxa"/>
            <w:tcBorders/>
            <w:vAlign w:val="center"/>
          </w:tcPr>
          <w:p>
            <w:pPr>
              <w:pStyle w:val="TableContents"/>
              <w:bidi w:val="0"/>
              <w:spacing w:before="0" w:after="283"/>
              <w:jc w:val="left"/>
              <w:rPr>
                <w:b/>
              </w:rPr>
            </w:pPr>
            <w:r>
              <w:rPr>
                <w:b/>
              </w:rPr>
              <w:t>Capitalisation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283"/>
              <w:jc w:val="left"/>
              <w:rPr>
                <w:b/>
              </w:rPr>
            </w:pPr>
            <w:r>
              <w:rPr>
                <w:b/>
              </w:rPr>
              <w:t>41</w:t>
            </w:r>
          </w:p>
        </w:tc>
        <w:tc>
          <w:tcPr>
            <w:tcW w:w="1835" w:type="dxa"/>
            <w:tcBorders/>
            <w:vAlign w:val="center"/>
          </w:tcPr>
          <w:p>
            <w:pPr>
              <w:pStyle w:val="TableContents"/>
              <w:bidi w:val="0"/>
              <w:spacing w:before="0" w:after="283"/>
              <w:jc w:val="left"/>
              <w:rPr>
                <w:b/>
              </w:rPr>
            </w:pPr>
            <w:r>
              <w:rPr>
                <w:b/>
              </w:rPr>
              <w:t>Books of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41.1</w:t>
            </w:r>
          </w:p>
        </w:tc>
        <w:tc>
          <w:tcPr>
            <w:tcW w:w="9750" w:type="dxa"/>
            <w:tcBorders/>
            <w:vAlign w:val="center"/>
          </w:tcPr>
          <w:p>
            <w:pPr>
              <w:pStyle w:val="TableContents"/>
              <w:bidi w:val="0"/>
              <w:spacing w:before="0" w:after="283"/>
              <w:jc w:val="both"/>
              <w:rPr/>
            </w:pPr>
            <w:r>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41.2</w:t>
            </w:r>
          </w:p>
        </w:tc>
        <w:tc>
          <w:tcPr>
            <w:tcW w:w="9750" w:type="dxa"/>
            <w:tcBorders/>
            <w:vAlign w:val="center"/>
          </w:tcPr>
          <w:p>
            <w:pPr>
              <w:pStyle w:val="TableContents"/>
              <w:bidi w:val="0"/>
              <w:spacing w:before="0" w:after="283"/>
              <w:jc w:val="both"/>
              <w:rPr/>
            </w:pPr>
            <w:r>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41.3</w:t>
            </w:r>
          </w:p>
        </w:tc>
        <w:tc>
          <w:tcPr>
            <w:tcW w:w="9750" w:type="dxa"/>
            <w:tcBorders/>
            <w:vAlign w:val="center"/>
          </w:tcPr>
          <w:p>
            <w:pPr>
              <w:pStyle w:val="TableContents"/>
              <w:bidi w:val="0"/>
              <w:spacing w:before="0" w:after="283"/>
              <w:jc w:val="both"/>
              <w:rPr/>
            </w:pPr>
            <w:r>
              <w:rPr/>
              <w:t>The Directors may cause to be prepared and to be laid before the Company in general meeting profit and loss accounts, balance sheets, group accounts (if any) and such other reports and accounts as may be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275"/>
        <w:gridCol w:w="620"/>
      </w:tblGrid>
      <w:tr>
        <w:trPr/>
        <w:tc>
          <w:tcPr>
            <w:tcW w:w="275" w:type="dxa"/>
            <w:tcBorders/>
            <w:vAlign w:val="center"/>
          </w:tcPr>
          <w:p>
            <w:pPr>
              <w:pStyle w:val="TableContents"/>
              <w:bidi w:val="0"/>
              <w:spacing w:before="0" w:after="283"/>
              <w:jc w:val="left"/>
              <w:rPr>
                <w:b/>
              </w:rPr>
            </w:pPr>
            <w:r>
              <w:rPr>
                <w:b/>
              </w:rPr>
              <w:t>42</w:t>
            </w:r>
          </w:p>
        </w:tc>
        <w:tc>
          <w:tcPr>
            <w:tcW w:w="620" w:type="dxa"/>
            <w:tcBorders/>
            <w:vAlign w:val="center"/>
          </w:tcPr>
          <w:p>
            <w:pPr>
              <w:pStyle w:val="TableContents"/>
              <w:bidi w:val="0"/>
              <w:spacing w:before="0" w:after="283"/>
              <w:jc w:val="left"/>
              <w:rPr>
                <w:b/>
              </w:rPr>
            </w:pPr>
            <w:r>
              <w:rPr>
                <w:b/>
              </w:rPr>
              <w:t>Audit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42.1</w:t>
            </w:r>
          </w:p>
        </w:tc>
        <w:tc>
          <w:tcPr>
            <w:tcW w:w="9750" w:type="dxa"/>
            <w:tcBorders/>
            <w:vAlign w:val="center"/>
          </w:tcPr>
          <w:p>
            <w:pPr>
              <w:pStyle w:val="TableContents"/>
              <w:bidi w:val="0"/>
              <w:spacing w:before="0" w:after="283"/>
              <w:jc w:val="both"/>
              <w:rPr/>
            </w:pPr>
            <w:r>
              <w:rPr/>
              <w:t>The Directors may appoint an Auditor of the Company who shall hold office on such terms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42.2</w:t>
            </w:r>
          </w:p>
        </w:tc>
        <w:tc>
          <w:tcPr>
            <w:tcW w:w="9750" w:type="dxa"/>
            <w:tcBorders/>
            <w:vAlign w:val="center"/>
          </w:tcPr>
          <w:p>
            <w:pPr>
              <w:pStyle w:val="TableContents"/>
              <w:bidi w:val="0"/>
              <w:spacing w:before="0" w:after="283"/>
              <w:jc w:val="both"/>
              <w:rPr/>
            </w:pPr>
            <w:r>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42.3</w:t>
            </w:r>
          </w:p>
        </w:tc>
        <w:tc>
          <w:tcPr>
            <w:tcW w:w="9750" w:type="dxa"/>
            <w:tcBorders/>
            <w:vAlign w:val="center"/>
          </w:tcPr>
          <w:p>
            <w:pPr>
              <w:pStyle w:val="TableContents"/>
              <w:bidi w:val="0"/>
              <w:spacing w:before="0" w:after="283"/>
              <w:jc w:val="both"/>
              <w:rPr/>
            </w:pPr>
            <w:r>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455"/>
        <w:gridCol w:w="8165"/>
      </w:tblGrid>
      <w:tr>
        <w:trPr/>
        <w:tc>
          <w:tcPr>
            <w:tcW w:w="455" w:type="dxa"/>
            <w:tcBorders/>
            <w:vAlign w:val="center"/>
          </w:tcPr>
          <w:p>
            <w:pPr>
              <w:pStyle w:val="TableContents"/>
              <w:bidi w:val="0"/>
              <w:spacing w:before="0" w:after="283"/>
              <w:jc w:val="left"/>
              <w:rPr/>
            </w:pPr>
            <w:r>
              <w:rPr/>
              <w:t>42.4</w:t>
            </w:r>
          </w:p>
        </w:tc>
        <w:tc>
          <w:tcPr>
            <w:tcW w:w="8165" w:type="dxa"/>
            <w:tcBorders/>
            <w:vAlign w:val="center"/>
          </w:tcPr>
          <w:p>
            <w:pPr>
              <w:pStyle w:val="TableContents"/>
              <w:bidi w:val="0"/>
              <w:spacing w:before="0" w:after="283"/>
              <w:jc w:val="left"/>
              <w:rPr/>
            </w:pPr>
            <w:r>
              <w:rPr/>
              <w:t>The remuneration of the Auditor shall be fixed by the Audit Committee (if one exists).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42.5</w:t>
            </w:r>
          </w:p>
        </w:tc>
        <w:tc>
          <w:tcPr>
            <w:tcW w:w="9750" w:type="dxa"/>
            <w:tcBorders/>
            <w:vAlign w:val="center"/>
          </w:tcPr>
          <w:p>
            <w:pPr>
              <w:pStyle w:val="TableContents"/>
              <w:bidi w:val="0"/>
              <w:spacing w:before="0" w:after="283"/>
              <w:jc w:val="both"/>
              <w:rPr/>
            </w:pPr>
            <w:r>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42.6</w:t>
            </w:r>
          </w:p>
        </w:tc>
        <w:tc>
          <w:tcPr>
            <w:tcW w:w="9750" w:type="dxa"/>
            <w:tcBorders/>
            <w:vAlign w:val="center"/>
          </w:tcPr>
          <w:p>
            <w:pPr>
              <w:pStyle w:val="TableContents"/>
              <w:bidi w:val="0"/>
              <w:spacing w:before="0" w:after="283"/>
              <w:jc w:val="both"/>
              <w:rPr/>
            </w:pPr>
            <w:r>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42.7</w:t>
            </w:r>
          </w:p>
        </w:tc>
        <w:tc>
          <w:tcPr>
            <w:tcW w:w="9750" w:type="dxa"/>
            <w:tcBorders/>
            <w:vAlign w:val="center"/>
          </w:tcPr>
          <w:p>
            <w:pPr>
              <w:pStyle w:val="TableContents"/>
              <w:bidi w:val="0"/>
              <w:spacing w:before="0" w:after="283"/>
              <w:jc w:val="both"/>
              <w:rPr/>
            </w:pPr>
            <w:r>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42.8</w:t>
            </w:r>
          </w:p>
        </w:tc>
        <w:tc>
          <w:tcPr>
            <w:tcW w:w="9750" w:type="dxa"/>
            <w:tcBorders/>
            <w:vAlign w:val="center"/>
          </w:tcPr>
          <w:p>
            <w:pPr>
              <w:pStyle w:val="TableContents"/>
              <w:bidi w:val="0"/>
              <w:spacing w:before="0" w:after="283"/>
              <w:jc w:val="both"/>
              <w:rPr/>
            </w:pPr>
            <w:r>
              <w:rPr/>
              <w:t>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75"/>
        <w:gridCol w:w="770"/>
      </w:tblGrid>
      <w:tr>
        <w:trPr/>
        <w:tc>
          <w:tcPr>
            <w:tcW w:w="275" w:type="dxa"/>
            <w:tcBorders/>
            <w:vAlign w:val="center"/>
          </w:tcPr>
          <w:p>
            <w:pPr>
              <w:pStyle w:val="TableContents"/>
              <w:bidi w:val="0"/>
              <w:spacing w:before="0" w:after="283"/>
              <w:jc w:val="left"/>
              <w:rPr>
                <w:b/>
              </w:rPr>
            </w:pPr>
            <w:r>
              <w:rPr>
                <w:b/>
              </w:rPr>
              <w:t>43</w:t>
            </w:r>
          </w:p>
        </w:tc>
        <w:tc>
          <w:tcPr>
            <w:tcW w:w="770" w:type="dxa"/>
            <w:tcBorders/>
            <w:vAlign w:val="center"/>
          </w:tcPr>
          <w:p>
            <w:pPr>
              <w:pStyle w:val="TableContents"/>
              <w:bidi w:val="0"/>
              <w:spacing w:before="0" w:after="283"/>
              <w:jc w:val="left"/>
              <w:rPr>
                <w:b/>
              </w:rPr>
            </w:pPr>
            <w:r>
              <w:rPr>
                <w:b/>
              </w:rPr>
              <w:t>Notices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43.1</w:t>
            </w:r>
          </w:p>
        </w:tc>
        <w:tc>
          <w:tcPr>
            <w:tcW w:w="9750" w:type="dxa"/>
            <w:tcBorders/>
            <w:vAlign w:val="center"/>
          </w:tcPr>
          <w:p>
            <w:pPr>
              <w:pStyle w:val="TableContents"/>
              <w:bidi w:val="0"/>
              <w:spacing w:before="0" w:after="283"/>
              <w:jc w:val="both"/>
              <w:rPr/>
            </w:pPr>
            <w:r>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455"/>
        <w:gridCol w:w="2465"/>
      </w:tblGrid>
      <w:tr>
        <w:trPr/>
        <w:tc>
          <w:tcPr>
            <w:tcW w:w="455" w:type="dxa"/>
            <w:tcBorders/>
            <w:vAlign w:val="center"/>
          </w:tcPr>
          <w:p>
            <w:pPr>
              <w:pStyle w:val="TableContents"/>
              <w:bidi w:val="0"/>
              <w:spacing w:before="0" w:after="283"/>
              <w:jc w:val="left"/>
              <w:rPr/>
            </w:pPr>
            <w:r>
              <w:rPr/>
              <w:t>43.2</w:t>
            </w:r>
          </w:p>
        </w:tc>
        <w:tc>
          <w:tcPr>
            <w:tcW w:w="2465" w:type="dxa"/>
            <w:tcBorders/>
            <w:vAlign w:val="center"/>
          </w:tcPr>
          <w:p>
            <w:pPr>
              <w:pStyle w:val="TableContents"/>
              <w:bidi w:val="0"/>
              <w:spacing w:before="0" w:after="283"/>
              <w:jc w:val="left"/>
              <w:rPr/>
            </w:pPr>
            <w:r>
              <w:rPr/>
              <w:t>Where a notice is sent 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(b)</w:t>
            </w:r>
          </w:p>
        </w:tc>
        <w:tc>
          <w:tcPr>
            <w:tcW w:w="9893" w:type="dxa"/>
            <w:tcBorders/>
            <w:vAlign w:val="center"/>
          </w:tcPr>
          <w:p>
            <w:pPr>
              <w:pStyle w:val="TableContents"/>
              <w:bidi w:val="0"/>
              <w:spacing w:before="0" w:after="283"/>
              <w:jc w:val="both"/>
              <w:rPr/>
            </w:pPr>
            <w:r>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(c)</w:t>
            </w:r>
          </w:p>
        </w:tc>
        <w:tc>
          <w:tcPr>
            <w:tcW w:w="9894" w:type="dxa"/>
            <w:tcBorders/>
            <w:vAlign w:val="center"/>
          </w:tcPr>
          <w:p>
            <w:pPr>
              <w:pStyle w:val="TableContents"/>
              <w:bidi w:val="0"/>
              <w:spacing w:before="0" w:after="283"/>
              <w:jc w:val="both"/>
              <w:rPr/>
            </w:pPr>
            <w:r>
              <w:rPr/>
              <w:t>cable, telex or fax; service of the notice shall be deemed to be effected by properly addressing and sending such notice and shall be deemed to have been received on the same day that it was transmitted;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(d)</w:t>
            </w:r>
          </w:p>
        </w:tc>
        <w:tc>
          <w:tcPr>
            <w:tcW w:w="9896" w:type="dxa"/>
            <w:tcBorders/>
            <w:vAlign w:val="center"/>
          </w:tcPr>
          <w:p>
            <w:pPr>
              <w:pStyle w:val="TableContents"/>
              <w:bidi w:val="0"/>
              <w:spacing w:before="0" w:after="283"/>
              <w:jc w:val="both"/>
              <w:rPr/>
            </w:pPr>
            <w:r>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(e)</w:t>
            </w:r>
          </w:p>
        </w:tc>
        <w:tc>
          <w:tcPr>
            <w:tcW w:w="9888" w:type="dxa"/>
            <w:tcBorders/>
            <w:vAlign w:val="center"/>
          </w:tcPr>
          <w:p>
            <w:pPr>
              <w:pStyle w:val="TableContents"/>
              <w:bidi w:val="0"/>
              <w:spacing w:before="0" w:after="283"/>
              <w:jc w:val="both"/>
              <w:rPr/>
            </w:pPr>
            <w:r>
              <w:rPr/>
              <w:t>placing it on the Company’s Website; service of the notice shall be deemed to have been effected one hour after the notice or document was placed on the Company’s Website.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43.3</w:t>
            </w:r>
          </w:p>
        </w:tc>
        <w:tc>
          <w:tcPr>
            <w:tcW w:w="9750" w:type="dxa"/>
            <w:tcBorders/>
            <w:vAlign w:val="center"/>
          </w:tcPr>
          <w:p>
            <w:pPr>
              <w:pStyle w:val="TableContents"/>
              <w:bidi w:val="0"/>
              <w:spacing w:before="0" w:after="283"/>
              <w:jc w:val="both"/>
              <w:rPr/>
            </w:pPr>
            <w:r>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43.4</w:t>
            </w:r>
          </w:p>
        </w:tc>
        <w:tc>
          <w:tcPr>
            <w:tcW w:w="9750" w:type="dxa"/>
            <w:tcBorders/>
            <w:vAlign w:val="center"/>
          </w:tcPr>
          <w:p>
            <w:pPr>
              <w:pStyle w:val="TableContents"/>
              <w:bidi w:val="0"/>
              <w:spacing w:before="0" w:after="283"/>
              <w:jc w:val="both"/>
              <w:rPr/>
            </w:pPr>
            <w:r>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75"/>
        <w:gridCol w:w="1295"/>
      </w:tblGrid>
      <w:tr>
        <w:trPr/>
        <w:tc>
          <w:tcPr>
            <w:tcW w:w="275" w:type="dxa"/>
            <w:tcBorders/>
            <w:vAlign w:val="center"/>
          </w:tcPr>
          <w:p>
            <w:pPr>
              <w:pStyle w:val="TableContents"/>
              <w:bidi w:val="0"/>
              <w:spacing w:before="0" w:after="283"/>
              <w:jc w:val="left"/>
              <w:rPr>
                <w:b/>
              </w:rPr>
            </w:pPr>
            <w:r>
              <w:rPr>
                <w:b/>
              </w:rPr>
              <w:t>44</w:t>
            </w:r>
          </w:p>
        </w:tc>
        <w:tc>
          <w:tcPr>
            <w:tcW w:w="1295" w:type="dxa"/>
            <w:tcBorders/>
            <w:vAlign w:val="center"/>
          </w:tcPr>
          <w:p>
            <w:pPr>
              <w:pStyle w:val="TableContents"/>
              <w:bidi w:val="0"/>
              <w:spacing w:before="0" w:after="283"/>
              <w:jc w:val="left"/>
              <w:rPr>
                <w:b/>
              </w:rPr>
            </w:pPr>
            <w:r>
              <w:rPr>
                <w:b/>
              </w:rPr>
              <w:t>Winding 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44.1</w:t>
            </w:r>
          </w:p>
        </w:tc>
        <w:tc>
          <w:tcPr>
            <w:tcW w:w="9750" w:type="dxa"/>
            <w:tcBorders/>
            <w:vAlign w:val="center"/>
          </w:tcPr>
          <w:p>
            <w:pPr>
              <w:pStyle w:val="TableContents"/>
              <w:bidi w:val="0"/>
              <w:spacing w:before="0" w:after="283"/>
              <w:jc w:val="both"/>
              <w:rPr/>
            </w:pPr>
            <w:r>
              <w:rPr/>
              <w:t>If the Company shall be wound up, the liquidator shall apply the assets of the Company in satisfaction of creditors’ claims in such manner and order as such liquidator thinks fit. Subject to the rights attaching to any Shares, in a winding 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283"/>
              <w:jc w:val="both"/>
              <w:rPr/>
            </w:pPr>
            <w:r>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44.2</w:t>
            </w:r>
          </w:p>
        </w:tc>
        <w:tc>
          <w:tcPr>
            <w:tcW w:w="9750" w:type="dxa"/>
            <w:tcBorders/>
            <w:vAlign w:val="center"/>
          </w:tcPr>
          <w:p>
            <w:pPr>
              <w:pStyle w:val="TableContents"/>
              <w:bidi w:val="0"/>
              <w:spacing w:before="0" w:after="283"/>
              <w:jc w:val="both"/>
              <w:rPr/>
            </w:pPr>
            <w:r>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tc>
      </w:tr>
    </w:tbl>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75"/>
        <w:gridCol w:w="2615"/>
      </w:tblGrid>
      <w:tr>
        <w:trPr/>
        <w:tc>
          <w:tcPr>
            <w:tcW w:w="275" w:type="dxa"/>
            <w:tcBorders/>
            <w:vAlign w:val="center"/>
          </w:tcPr>
          <w:p>
            <w:pPr>
              <w:pStyle w:val="TableContents"/>
              <w:bidi w:val="0"/>
              <w:spacing w:before="0" w:after="283"/>
              <w:jc w:val="left"/>
              <w:rPr>
                <w:b/>
              </w:rPr>
            </w:pPr>
            <w:r>
              <w:rPr>
                <w:b/>
              </w:rPr>
              <w:t>45</w:t>
            </w:r>
          </w:p>
        </w:tc>
        <w:tc>
          <w:tcPr>
            <w:tcW w:w="2615" w:type="dxa"/>
            <w:tcBorders/>
            <w:vAlign w:val="center"/>
          </w:tcPr>
          <w:p>
            <w:pPr>
              <w:pStyle w:val="TableContents"/>
              <w:bidi w:val="0"/>
              <w:spacing w:before="0" w:after="283"/>
              <w:jc w:val="left"/>
              <w:rPr>
                <w:b/>
              </w:rPr>
            </w:pPr>
            <w:r>
              <w:rPr>
                <w:b/>
              </w:rPr>
              <w:t>Indemnity and Insurance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45.1</w:t>
            </w:r>
          </w:p>
        </w:tc>
        <w:tc>
          <w:tcPr>
            <w:tcW w:w="9750" w:type="dxa"/>
            <w:tcBorders/>
            <w:vAlign w:val="center"/>
          </w:tcPr>
          <w:p>
            <w:pPr>
              <w:pStyle w:val="TableContents"/>
              <w:bidi w:val="0"/>
              <w:spacing w:before="0" w:after="283"/>
              <w:jc w:val="both"/>
              <w:rPr/>
            </w:pPr>
            <w:r>
              <w:rPr/>
              <w:t>Every Director and Officer (which for the avoidance of doubt, shall not include auditors of the Company), together with every former Director and former Officer (each an “</w:t>
            </w:r>
            <w:r>
              <w:rPr>
                <w:b/>
              </w:rPr>
              <w:t>Indemnified Person</w:t>
            </w:r>
            <w:r>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45.2</w:t>
            </w:r>
          </w:p>
        </w:tc>
        <w:tc>
          <w:tcPr>
            <w:tcW w:w="9750" w:type="dxa"/>
            <w:tcBorders/>
            <w:vAlign w:val="center"/>
          </w:tcPr>
          <w:p>
            <w:pPr>
              <w:pStyle w:val="TableContents"/>
              <w:bidi w:val="0"/>
              <w:spacing w:before="0" w:after="283"/>
              <w:jc w:val="both"/>
              <w:rPr/>
            </w:pPr>
            <w:r>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45.3</w:t>
            </w:r>
          </w:p>
        </w:tc>
        <w:tc>
          <w:tcPr>
            <w:tcW w:w="9750" w:type="dxa"/>
            <w:tcBorders/>
            <w:vAlign w:val="center"/>
          </w:tcPr>
          <w:p>
            <w:pPr>
              <w:pStyle w:val="TableContents"/>
              <w:bidi w:val="0"/>
              <w:spacing w:before="0" w:after="283"/>
              <w:jc w:val="both"/>
              <w:rPr/>
            </w:pPr>
            <w:r>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75"/>
        <w:gridCol w:w="1550"/>
      </w:tblGrid>
      <w:tr>
        <w:trPr/>
        <w:tc>
          <w:tcPr>
            <w:tcW w:w="275" w:type="dxa"/>
            <w:tcBorders/>
            <w:vAlign w:val="center"/>
          </w:tcPr>
          <w:p>
            <w:pPr>
              <w:pStyle w:val="TableContents"/>
              <w:bidi w:val="0"/>
              <w:spacing w:before="0" w:after="283"/>
              <w:jc w:val="left"/>
              <w:rPr>
                <w:b/>
              </w:rPr>
            </w:pPr>
            <w:r>
              <w:rPr>
                <w:b/>
              </w:rPr>
              <w:t>46</w:t>
            </w:r>
          </w:p>
        </w:tc>
        <w:tc>
          <w:tcPr>
            <w:tcW w:w="1550" w:type="dxa"/>
            <w:tcBorders/>
            <w:vAlign w:val="center"/>
          </w:tcPr>
          <w:p>
            <w:pPr>
              <w:pStyle w:val="TableContents"/>
              <w:bidi w:val="0"/>
              <w:spacing w:before="0" w:after="283"/>
              <w:jc w:val="left"/>
              <w:rPr>
                <w:b/>
              </w:rPr>
            </w:pPr>
            <w:r>
              <w:rPr>
                <w:b/>
              </w:rPr>
              <w:t>Financial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31st December in each year and, following the year of incorporation, shall begin on 1st January in each year.</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275"/>
        <w:gridCol w:w="3455"/>
      </w:tblGrid>
      <w:tr>
        <w:trPr/>
        <w:tc>
          <w:tcPr>
            <w:tcW w:w="275" w:type="dxa"/>
            <w:tcBorders/>
            <w:vAlign w:val="center"/>
          </w:tcPr>
          <w:p>
            <w:pPr>
              <w:pStyle w:val="TableContents"/>
              <w:bidi w:val="0"/>
              <w:spacing w:before="0" w:after="283"/>
              <w:jc w:val="left"/>
              <w:rPr>
                <w:b/>
              </w:rPr>
            </w:pPr>
            <w:r>
              <w:rPr>
                <w:b/>
              </w:rPr>
              <w:t>47</w:t>
            </w:r>
          </w:p>
        </w:tc>
        <w:tc>
          <w:tcPr>
            <w:tcW w:w="3455" w:type="dxa"/>
            <w:tcBorders/>
            <w:vAlign w:val="center"/>
          </w:tcPr>
          <w:p>
            <w:pPr>
              <w:pStyle w:val="TableContents"/>
              <w:bidi w:val="0"/>
              <w:spacing w:before="0" w:after="283"/>
              <w:jc w:val="left"/>
              <w:rPr>
                <w:b/>
              </w:rPr>
            </w:pPr>
            <w:r>
              <w:rPr>
                <w:b/>
              </w:rPr>
              <w:t>Transfer by Way of Continuation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pStyle w:val="TextBody"/>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75"/>
        <w:gridCol w:w="2900"/>
      </w:tblGrid>
      <w:tr>
        <w:trPr/>
        <w:tc>
          <w:tcPr>
            <w:tcW w:w="275" w:type="dxa"/>
            <w:tcBorders/>
            <w:vAlign w:val="center"/>
          </w:tcPr>
          <w:p>
            <w:pPr>
              <w:pStyle w:val="TableContents"/>
              <w:bidi w:val="0"/>
              <w:spacing w:before="0" w:after="283"/>
              <w:jc w:val="left"/>
              <w:rPr>
                <w:b/>
              </w:rPr>
            </w:pPr>
            <w:r>
              <w:rPr>
                <w:b/>
              </w:rPr>
              <w:t>48</w:t>
            </w:r>
          </w:p>
        </w:tc>
        <w:tc>
          <w:tcPr>
            <w:tcW w:w="2900" w:type="dxa"/>
            <w:tcBorders/>
            <w:vAlign w:val="center"/>
          </w:tcPr>
          <w:p>
            <w:pPr>
              <w:pStyle w:val="TableContents"/>
              <w:bidi w:val="0"/>
              <w:spacing w:before="0" w:after="283"/>
              <w:jc w:val="left"/>
              <w:rPr>
                <w:b/>
              </w:rPr>
            </w:pPr>
            <w:r>
              <w:rPr>
                <w:b/>
              </w:rPr>
              <w:t>Mergers and Consolidations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75"/>
        <w:gridCol w:w="2375"/>
      </w:tblGrid>
      <w:tr>
        <w:trPr/>
        <w:tc>
          <w:tcPr>
            <w:tcW w:w="275" w:type="dxa"/>
            <w:tcBorders/>
            <w:vAlign w:val="center"/>
          </w:tcPr>
          <w:p>
            <w:pPr>
              <w:pStyle w:val="TableContents"/>
              <w:bidi w:val="0"/>
              <w:spacing w:before="0" w:after="283"/>
              <w:jc w:val="left"/>
              <w:rPr>
                <w:b/>
              </w:rPr>
            </w:pPr>
            <w:r>
              <w:rPr>
                <w:b/>
              </w:rPr>
              <w:t>49</w:t>
            </w:r>
          </w:p>
        </w:tc>
        <w:tc>
          <w:tcPr>
            <w:tcW w:w="2375" w:type="dxa"/>
            <w:tcBorders/>
            <w:vAlign w:val="center"/>
          </w:tcPr>
          <w:p>
            <w:pPr>
              <w:pStyle w:val="TableContents"/>
              <w:bidi w:val="0"/>
              <w:spacing w:before="0" w:after="283"/>
              <w:jc w:val="left"/>
              <w:rPr>
                <w:b/>
              </w:rPr>
            </w:pPr>
            <w:r>
              <w:rPr>
                <w:b/>
              </w:rPr>
              <w:t>Business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49.1</w:t>
            </w:r>
          </w:p>
        </w:tc>
        <w:tc>
          <w:tcPr>
            <w:tcW w:w="9750" w:type="dxa"/>
            <w:tcBorders/>
            <w:vAlign w:val="center"/>
          </w:tcPr>
          <w:p>
            <w:pPr>
              <w:pStyle w:val="TableContents"/>
              <w:bidi w:val="0"/>
              <w:spacing w:before="0" w:after="283"/>
              <w:jc w:val="both"/>
              <w:rPr/>
            </w:pPr>
            <w:r>
              <w:rPr/>
              <w:t>To the fullest extent permitted by Applicable Law, no individual serving as a Director or an Officer (“</w:t>
            </w:r>
            <w:r>
              <w:rPr>
                <w:b/>
              </w:rPr>
              <w:t>Management</w:t>
            </w:r>
            <w:r>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49.2</w:t>
            </w:r>
          </w:p>
        </w:tc>
        <w:tc>
          <w:tcPr>
            <w:tcW w:w="9750" w:type="dxa"/>
            <w:tcBorders/>
            <w:vAlign w:val="center"/>
          </w:tcPr>
          <w:p>
            <w:pPr>
              <w:pStyle w:val="TableContents"/>
              <w:bidi w:val="0"/>
              <w:spacing w:before="0" w:after="283"/>
              <w:jc w:val="both"/>
              <w:rPr/>
            </w:pPr>
            <w:r>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49.3</w:t>
            </w:r>
          </w:p>
        </w:tc>
        <w:tc>
          <w:tcPr>
            <w:tcW w:w="9750" w:type="dxa"/>
            <w:tcBorders/>
            <w:vAlign w:val="center"/>
          </w:tcPr>
          <w:p>
            <w:pPr>
              <w:pStyle w:val="TableContents"/>
              <w:bidi w:val="0"/>
              <w:spacing w:before="0" w:after="283"/>
              <w:jc w:val="both"/>
              <w:rPr/>
            </w:pPr>
            <w:r>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347701ex3-2.htm"/>
      <w:bookmarkStart w:id="5" w:name="ksea030347701ex32"/>
      <w:bookmarkEnd w:id="4"/>
      <w:bookmarkEnd w:id="5"/>
      <w:r>
        <w:rPr>
          <w:rFonts w:ascii="Times New Roman;Times;Serif" w:hAnsi="Times New Roman;Times;Serif"/>
          <w:b/>
          <w:i w:val="false"/>
          <w:caps w:val="false"/>
          <w:smallCaps w:val="false"/>
          <w:sz w:val="20"/>
        </w:rPr>
        <w:t>Exhibit 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w:t>
      </w:r>
      <w:r>
        <w:rPr>
          <w:rFonts w:ascii="Times New Roman;Times;Serif" w:hAnsi="Times New Roman;Times;Serif"/>
          <w:b/>
          <w:i w:val="false"/>
          <w:caps/>
          <w:sz w:val="20"/>
        </w:rPr>
        <w:t>Revised</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AND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(ADOPTED BY SPECIAL RESOLUTION DATED [*] 2026</w:t>
        <w:br/>
        <w:t>AND EFFECTIVE AS OF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COMPANIES ACT (Revised)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(ADOPTED BY SPECIAL RESOLUTION DATED [*] 2026</w:t>
        <w:br/>
        <w:t>AND EFFECTIVE AS OF [*] 2026)</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84"/>
        <w:gridCol w:w="9844"/>
      </w:tblGrid>
      <w:tr>
        <w:trPr/>
        <w:tc>
          <w:tcPr>
            <w:tcW w:w="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1</w:t>
            </w:r>
          </w:p>
        </w:tc>
        <w:tc>
          <w:tcPr>
            <w:tcW w:w="9844" w:type="dxa"/>
            <w:tcBorders/>
            <w:vAlign w:val="center"/>
          </w:tcPr>
          <w:p>
            <w:pPr>
              <w:pStyle w:val="TableContents"/>
              <w:bidi w:val="0"/>
              <w:spacing w:before="0" w:after="283"/>
              <w:jc w:val="left"/>
              <w:rPr/>
            </w:pPr>
            <w:r>
              <w:rPr/>
              <w:t xml:space="preserve">The name of the Company is </w:t>
            </w:r>
            <w:r>
              <w:rPr>
                <w:b/>
              </w:rPr>
              <w:t>SAIHEAT Limited</w:t>
            </w:r>
            <w:r>
              <w:rPr/>
              <w: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The Registered Office of the Company shall be at the offices of BOLDER CORPORATE SERVICES (CAYMAN) LIMITED, 3-212 Governors Square, 23 Lime Tree Bay Avenue, P.O. Box 30746, Seven Mile Beach, Grand Cayman KY1-1203, Cayman Islands, or at such other place within the Cayman Islands as the Directors may decide.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3</w:t>
            </w:r>
          </w:p>
        </w:tc>
        <w:tc>
          <w:tcPr>
            <w:tcW w:w="10028" w:type="dxa"/>
            <w:tcBorders/>
            <w:vAlign w:val="center"/>
          </w:tcPr>
          <w:p>
            <w:pPr>
              <w:pStyle w:val="TableContents"/>
              <w:bidi w:val="0"/>
              <w:spacing w:before="0" w:after="283"/>
              <w:jc w:val="both"/>
              <w:rPr/>
            </w:pPr>
            <w:r>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4</w:t>
            </w:r>
          </w:p>
        </w:tc>
        <w:tc>
          <w:tcPr>
            <w:tcW w:w="10028" w:type="dxa"/>
            <w:tcBorders/>
            <w:vAlign w:val="center"/>
          </w:tcPr>
          <w:p>
            <w:pPr>
              <w:pStyle w:val="TableContents"/>
              <w:bidi w:val="0"/>
              <w:spacing w:before="0" w:after="283"/>
              <w:jc w:val="both"/>
              <w:rPr/>
            </w:pPr>
            <w:r>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69"/>
        <w:gridCol w:w="9991"/>
      </w:tblGrid>
      <w:tr>
        <w:trPr/>
        <w:tc>
          <w:tcPr>
            <w:tcW w:w="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both"/>
              <w:rPr/>
            </w:pPr>
            <w:r>
              <w:rPr/>
              <w:t>5</w:t>
            </w:r>
          </w:p>
        </w:tc>
        <w:tc>
          <w:tcPr>
            <w:tcW w:w="9991" w:type="dxa"/>
            <w:tcBorders/>
            <w:vAlign w:val="center"/>
          </w:tcPr>
          <w:p>
            <w:pPr>
              <w:pStyle w:val="TableContents"/>
              <w:bidi w:val="0"/>
              <w:spacing w:before="0" w:after="283"/>
              <w:jc w:val="both"/>
              <w:rPr/>
            </w:pPr>
            <w:r>
              <w:rPr/>
              <w:t>The liability of each Member is limited to the amount unpaid on such Member’s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6</w:t>
            </w:r>
          </w:p>
        </w:tc>
        <w:tc>
          <w:tcPr>
            <w:tcW w:w="10028" w:type="dxa"/>
            <w:tcBorders/>
            <w:vAlign w:val="center"/>
          </w:tcPr>
          <w:p>
            <w:pPr>
              <w:pStyle w:val="TableContents"/>
              <w:bidi w:val="0"/>
              <w:spacing w:before="0" w:after="283"/>
              <w:jc w:val="both"/>
              <w:rPr/>
            </w:pPr>
            <w:r>
              <w:rPr/>
              <w:t>The authorized share capital of the Company is US$35,000 divided into 22,170,225 class A ordinary shares of a par value of US$0.0015 each, 496,442 convertible class B ordinary shares of a par value of US$0.0015 each, and 666,666 preference shares of a par value of US$0.0015 each. Subject to the provisions of the Statute and the Articles, the Company has the power to redeem or purchase any of its shares and to increase or reduce the share capital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7</w:t>
            </w:r>
          </w:p>
        </w:tc>
        <w:tc>
          <w:tcPr>
            <w:tcW w:w="10028" w:type="dxa"/>
            <w:tcBorders/>
            <w:vAlign w:val="center"/>
          </w:tcPr>
          <w:p>
            <w:pPr>
              <w:pStyle w:val="TableContents"/>
              <w:bidi w:val="0"/>
              <w:spacing w:before="0" w:after="283"/>
              <w:jc w:val="both"/>
              <w:rPr/>
            </w:pPr>
            <w:r>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8</w:t>
            </w:r>
          </w:p>
        </w:tc>
        <w:tc>
          <w:tcPr>
            <w:tcW w:w="10028" w:type="dxa"/>
            <w:tcBorders/>
            <w:vAlign w:val="center"/>
          </w:tcPr>
          <w:p>
            <w:pPr>
              <w:pStyle w:val="TableContents"/>
              <w:bidi w:val="0"/>
              <w:spacing w:before="0" w:after="283"/>
              <w:jc w:val="both"/>
              <w:rPr/>
            </w:pPr>
            <w:r>
              <w:rPr/>
              <w:t>Capitalised terms that are not defined in this Memorandum bear the respective meanings given to them in the Articles.</w:t>
            </w:r>
          </w:p>
        </w:tc>
      </w:tr>
    </w:tbl>
    <w:p>
      <w:pPr>
        <w:pStyle w:val="TextBody"/>
        <w:bidi w:val="0"/>
        <w:spacing w:before="0" w:after="283"/>
        <w:jc w:val="left"/>
        <w:rPr/>
      </w:pPr>
      <w:r>
        <w:rPr/>
        <w:t> </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COMPANIES ACT (Revised)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720" w:right="0" w:hanging="0"/>
        <w:jc w:val="center"/>
        <w:rPr>
          <w:caps/>
        </w:rPr>
      </w:pPr>
      <w:r>
        <w:rPr>
          <w:caps/>
        </w:rPr>
        <w:t> </w:t>
      </w:r>
    </w:p>
    <w:p>
      <w:pPr>
        <w:pStyle w:val="TextBody"/>
        <w:bidi w:val="0"/>
        <w:spacing w:before="0" w:after="0"/>
        <w:ind w:left="720" w:right="0" w:hanging="0"/>
        <w:jc w:val="center"/>
        <w:rPr>
          <w:rFonts w:ascii="Times New Roman;Times;Serif" w:hAnsi="Times New Roman;Times;Serif"/>
          <w:b/>
          <w:i w:val="false"/>
          <w:caps/>
          <w:sz w:val="20"/>
        </w:rPr>
      </w:pPr>
      <w:r>
        <w:rPr>
          <w:rFonts w:ascii="Times New Roman;Times;Serif" w:hAnsi="Times New Roman;Times;Serif"/>
          <w:b/>
          <w:i w:val="false"/>
          <w:caps/>
          <w:sz w:val="20"/>
        </w:rPr>
        <w:t>(ADOPTED BY SPECIAL RESOLUTION DATED [*] 2026</w:t>
      </w:r>
      <w:r>
        <w:rPr>
          <w:rFonts w:ascii="Times New Roman;Times;Serif" w:hAnsi="Times New Roman;Times;Serif"/>
          <w:b w:val="false"/>
          <w:i w:val="false"/>
          <w:caps/>
          <w:sz w:val="20"/>
        </w:rPr>
        <w:br/>
        <w:t xml:space="preserve">AND EFFECTIVE AS OF </w:t>
      </w:r>
      <w:r>
        <w:rPr>
          <w:rFonts w:ascii="Times New Roman;Times;Serif" w:hAnsi="Times New Roman;Times;Serif"/>
          <w:b/>
          <w:i w:val="false"/>
          <w:caps/>
          <w:sz w:val="20"/>
        </w:rPr>
        <w:t>[*] 2026)</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970"/>
        <w:gridCol w:w="8972"/>
      </w:tblGrid>
      <w:tr>
        <w:trPr/>
        <w:tc>
          <w:tcPr>
            <w:tcW w:w="2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972" w:type="dxa"/>
            <w:tcBorders/>
            <w:vAlign w:val="center"/>
          </w:tcPr>
          <w:p>
            <w:pPr>
              <w:pStyle w:val="TableContents"/>
              <w:bidi w:val="0"/>
              <w:spacing w:before="0" w:after="283"/>
              <w:jc w:val="left"/>
              <w:rPr/>
            </w:pPr>
            <w:r>
              <w:rPr/>
              <w:t>Interpretation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In the Articles Table A in the First Schedule to the Statute does not apply and, unless there is something in the subject or context inconsistent therewith, the following words shall have the following meaning: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13"/>
        <w:gridCol w:w="8917"/>
      </w:tblGrid>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p>
        </w:tc>
        <w:tc>
          <w:tcPr>
            <w:tcW w:w="8917" w:type="dxa"/>
            <w:tcBorders/>
            <w:vAlign w:val="center"/>
          </w:tcPr>
          <w:p>
            <w:pPr>
              <w:pStyle w:val="TableContents"/>
              <w:bidi w:val="0"/>
              <w:spacing w:before="0" w:after="283"/>
              <w:jc w:val="both"/>
              <w:rPr/>
            </w:pPr>
            <w:r>
              <w:rPr/>
              <w:t>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w:t>
            </w:r>
            <w:r>
              <w:rPr>
                <w:b/>
              </w:rPr>
              <w:t>Applicable Law”</w:t>
            </w:r>
          </w:p>
        </w:tc>
        <w:tc>
          <w:tcPr>
            <w:tcW w:w="8917" w:type="dxa"/>
            <w:tcBorders/>
            <w:vAlign w:val="center"/>
          </w:tcPr>
          <w:p>
            <w:pPr>
              <w:pStyle w:val="TableContents"/>
              <w:bidi w:val="0"/>
              <w:spacing w:before="0" w:after="283"/>
              <w:jc w:val="both"/>
              <w:rPr/>
            </w:pPr>
            <w:r>
              <w:rPr/>
              <w:t>means, with respect to any Person, all provisions of laws, statutes, ordinances, rules, regulations, permits, certificates, judgments, decisions, decrees or orders of any governmental authority applicable to such Person.</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w:t>
            </w:r>
            <w:r>
              <w:rPr>
                <w:b/>
              </w:rPr>
              <w:t>Articles”</w:t>
            </w:r>
          </w:p>
        </w:tc>
        <w:tc>
          <w:tcPr>
            <w:tcW w:w="8917" w:type="dxa"/>
            <w:tcBorders/>
            <w:vAlign w:val="center"/>
          </w:tcPr>
          <w:p>
            <w:pPr>
              <w:pStyle w:val="TableContents"/>
              <w:bidi w:val="0"/>
              <w:spacing w:before="0" w:after="283"/>
              <w:jc w:val="both"/>
              <w:rPr/>
            </w:pPr>
            <w:r>
              <w:rPr/>
              <w:t>means these articles of association of the Company, as amended, supplemented and/or restated from time to time.</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w:t>
            </w:r>
            <w:r>
              <w:rPr>
                <w:b/>
              </w:rPr>
              <w:t>Audit Committee”</w:t>
            </w:r>
          </w:p>
        </w:tc>
        <w:tc>
          <w:tcPr>
            <w:tcW w:w="8917" w:type="dxa"/>
            <w:tcBorders/>
            <w:vAlign w:val="center"/>
          </w:tcPr>
          <w:p>
            <w:pPr>
              <w:pStyle w:val="TableContents"/>
              <w:bidi w:val="0"/>
              <w:spacing w:before="0" w:after="283"/>
              <w:jc w:val="both"/>
              <w:rPr/>
            </w:pPr>
            <w:r>
              <w:rPr/>
              <w:t>means the audit committee of the board of directors of the Company established pursuant to the Articles, or any successor committee.</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w:t>
            </w:r>
            <w:r>
              <w:rPr>
                <w:b/>
              </w:rPr>
              <w:t>Auditor”</w:t>
            </w:r>
          </w:p>
        </w:tc>
        <w:tc>
          <w:tcPr>
            <w:tcW w:w="8917" w:type="dxa"/>
            <w:tcBorders/>
            <w:vAlign w:val="center"/>
          </w:tcPr>
          <w:p>
            <w:pPr>
              <w:pStyle w:val="TableContents"/>
              <w:bidi w:val="0"/>
              <w:spacing w:before="0" w:after="283"/>
              <w:jc w:val="both"/>
              <w:rPr/>
            </w:pPr>
            <w:r>
              <w:rPr/>
              <w:t>means the Person for the time being performing the duties of auditor of the Company (if any).</w:t>
            </w:r>
          </w:p>
        </w:tc>
      </w:tr>
    </w:tbl>
    <w:p>
      <w:pPr>
        <w:pStyle w:val="TextBody"/>
        <w:bidi w:val="0"/>
        <w:spacing w:before="0" w:after="283"/>
        <w:jc w:val="left"/>
        <w:rPr/>
      </w:pPr>
      <w:r>
        <w:rPr/>
        <w:t>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4"/>
        <w:gridCol w:w="8086"/>
      </w:tblGrid>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Chairman”</w:t>
            </w:r>
          </w:p>
        </w:tc>
        <w:tc>
          <w:tcPr>
            <w:tcW w:w="8086" w:type="dxa"/>
            <w:tcBorders/>
            <w:vAlign w:val="center"/>
          </w:tcPr>
          <w:p>
            <w:pPr>
              <w:pStyle w:val="TableContents"/>
              <w:bidi w:val="0"/>
              <w:spacing w:before="0" w:after="283"/>
              <w:jc w:val="both"/>
              <w:rPr/>
            </w:pPr>
            <w:r>
              <w:rPr/>
              <w:t>means the chairman of the board of Directors, if any, appointed by the Directors pursuant to Article 31.7.</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Class A Share”</w:t>
            </w:r>
          </w:p>
        </w:tc>
        <w:tc>
          <w:tcPr>
            <w:tcW w:w="8086" w:type="dxa"/>
            <w:tcBorders/>
            <w:vAlign w:val="center"/>
          </w:tcPr>
          <w:p>
            <w:pPr>
              <w:pStyle w:val="TableContents"/>
              <w:bidi w:val="0"/>
              <w:spacing w:before="0" w:after="283"/>
              <w:jc w:val="both"/>
              <w:rPr/>
            </w:pPr>
            <w:r>
              <w:rPr/>
              <w:t>means a class A ordinary share of a par value of US$0.0015 in the share capital of the Company.</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Class B Share”</w:t>
            </w:r>
          </w:p>
        </w:tc>
        <w:tc>
          <w:tcPr>
            <w:tcW w:w="8086" w:type="dxa"/>
            <w:tcBorders/>
            <w:vAlign w:val="center"/>
          </w:tcPr>
          <w:p>
            <w:pPr>
              <w:pStyle w:val="TableContents"/>
              <w:bidi w:val="0"/>
              <w:spacing w:before="0" w:after="283"/>
              <w:jc w:val="both"/>
              <w:rPr/>
            </w:pPr>
            <w:r>
              <w:rPr/>
              <w:t>means a convertible class B ordinary share of a par value of US$0.0015 in the share capital of the Company.</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Class B Ordinary Shareholder”</w:t>
            </w:r>
          </w:p>
        </w:tc>
        <w:tc>
          <w:tcPr>
            <w:tcW w:w="8086" w:type="dxa"/>
            <w:tcBorders/>
            <w:vAlign w:val="center"/>
          </w:tcPr>
          <w:p>
            <w:pPr>
              <w:pStyle w:val="TableContents"/>
              <w:bidi w:val="0"/>
              <w:spacing w:before="0" w:after="283"/>
              <w:jc w:val="both"/>
              <w:rPr/>
            </w:pPr>
            <w:r>
              <w:rPr/>
              <w:t>means a holder of Class B Shares and any Permitted Transferee of such holder so long as such Permitted Transferee is a holder of any Class B Shares.</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Clearing House”</w:t>
            </w:r>
          </w:p>
        </w:tc>
        <w:tc>
          <w:tcPr>
            <w:tcW w:w="8086" w:type="dxa"/>
            <w:tcBorders/>
            <w:vAlign w:val="center"/>
          </w:tcPr>
          <w:p>
            <w:pPr>
              <w:pStyle w:val="TableContents"/>
              <w:bidi w:val="0"/>
              <w:spacing w:before="0" w:after="283"/>
              <w:jc w:val="both"/>
              <w:rPr/>
            </w:pPr>
            <w:r>
              <w:rPr/>
              <w:t>means a clearing house recognised by the laws of the jurisdiction in which the Shares (or depositary receipts therefor) are listed or quoted on a stock exchange or interdealer quotation system in such jurisdiction.</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Company”</w:t>
            </w:r>
          </w:p>
        </w:tc>
        <w:tc>
          <w:tcPr>
            <w:tcW w:w="8086" w:type="dxa"/>
            <w:tcBorders/>
            <w:vAlign w:val="center"/>
          </w:tcPr>
          <w:p>
            <w:pPr>
              <w:pStyle w:val="TableContents"/>
              <w:bidi w:val="0"/>
              <w:spacing w:before="0" w:after="283"/>
              <w:jc w:val="both"/>
              <w:rPr/>
            </w:pPr>
            <w:r>
              <w:rPr/>
              <w:t>means the above named company.</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Company’s Website”</w:t>
            </w:r>
          </w:p>
        </w:tc>
        <w:tc>
          <w:tcPr>
            <w:tcW w:w="8086" w:type="dxa"/>
            <w:tcBorders/>
            <w:vAlign w:val="center"/>
          </w:tcPr>
          <w:p>
            <w:pPr>
              <w:pStyle w:val="TableContents"/>
              <w:bidi w:val="0"/>
              <w:spacing w:before="0" w:after="283"/>
              <w:jc w:val="both"/>
              <w:rPr/>
            </w:pPr>
            <w:r>
              <w:rPr/>
              <w:t>means the website of the Company and/or its web-address or domain name (if any).</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Compensation Committee”</w:t>
            </w:r>
          </w:p>
        </w:tc>
        <w:tc>
          <w:tcPr>
            <w:tcW w:w="8086" w:type="dxa"/>
            <w:tcBorders/>
            <w:vAlign w:val="center"/>
          </w:tcPr>
          <w:p>
            <w:pPr>
              <w:pStyle w:val="TableContents"/>
              <w:bidi w:val="0"/>
              <w:spacing w:before="0" w:after="283"/>
              <w:jc w:val="both"/>
              <w:rPr/>
            </w:pPr>
            <w:r>
              <w:rPr/>
              <w:t>means the compensation committee of the board of directors of the Company established pursuant to the Articles, or any successor committee.</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Designated Stock Exchange”</w:t>
            </w:r>
          </w:p>
        </w:tc>
        <w:tc>
          <w:tcPr>
            <w:tcW w:w="8086" w:type="dxa"/>
            <w:tcBorders/>
            <w:vAlign w:val="center"/>
          </w:tcPr>
          <w:p>
            <w:pPr>
              <w:pStyle w:val="TableContents"/>
              <w:bidi w:val="0"/>
              <w:spacing w:before="0" w:after="283"/>
              <w:jc w:val="both"/>
              <w:rPr/>
            </w:pPr>
            <w:r>
              <w:rPr/>
              <w:t>means any United States national securities exchange on which the securities of the Company are listed for trading, including the Nasdaq Capital Market.</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Directors”</w:t>
            </w:r>
          </w:p>
        </w:tc>
        <w:tc>
          <w:tcPr>
            <w:tcW w:w="8086" w:type="dxa"/>
            <w:tcBorders/>
            <w:vAlign w:val="center"/>
          </w:tcPr>
          <w:p>
            <w:pPr>
              <w:pStyle w:val="TableContents"/>
              <w:bidi w:val="0"/>
              <w:jc w:val="both"/>
              <w:rPr/>
            </w:pPr>
            <w:r>
              <w:rPr/>
              <w:t>means the directors for the time being of the Company.</w:t>
            </w:r>
          </w:p>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Dividend”</w:t>
            </w:r>
          </w:p>
        </w:tc>
        <w:tc>
          <w:tcPr>
            <w:tcW w:w="8086" w:type="dxa"/>
            <w:tcBorders/>
            <w:vAlign w:val="center"/>
          </w:tcPr>
          <w:p>
            <w:pPr>
              <w:pStyle w:val="TableContents"/>
              <w:bidi w:val="0"/>
              <w:spacing w:before="0" w:after="283"/>
              <w:jc w:val="both"/>
              <w:rPr/>
            </w:pPr>
            <w:r>
              <w:rPr/>
              <w:t>means any dividend (whether interim or final) resolved to be paid on Shares pursuant to the Articles.</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Electronic Communication”</w:t>
            </w:r>
          </w:p>
        </w:tc>
        <w:tc>
          <w:tcPr>
            <w:tcW w:w="8086" w:type="dxa"/>
            <w:tcBorders/>
            <w:vAlign w:val="center"/>
          </w:tcPr>
          <w:p>
            <w:pPr>
              <w:pStyle w:val="TableContents"/>
              <w:bidi w:val="0"/>
              <w:spacing w:before="0" w:after="283"/>
              <w:jc w:val="both"/>
              <w:rPr/>
            </w:pPr>
            <w:r>
              <w:rPr/>
              <w:t>means a communication sent by electronic means, including electronic posting to the Company’s Website, transmission to any number, address or internet website (including the website of the Securities and Exchange Commission) or other electronic delivery methods as otherwise decided and approved by the Directors.</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Electronic Record”</w:t>
            </w:r>
          </w:p>
        </w:tc>
        <w:tc>
          <w:tcPr>
            <w:tcW w:w="8086" w:type="dxa"/>
            <w:tcBorders/>
            <w:vAlign w:val="center"/>
          </w:tcPr>
          <w:p>
            <w:pPr>
              <w:pStyle w:val="TableContents"/>
              <w:bidi w:val="0"/>
              <w:spacing w:before="0" w:after="283"/>
              <w:jc w:val="both"/>
              <w:rPr/>
            </w:pPr>
            <w:r>
              <w:rPr/>
              <w:t>has the same meaning as in the Electronic Transactions Act.</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Electronic Transactions Act”</w:t>
            </w:r>
          </w:p>
        </w:tc>
        <w:tc>
          <w:tcPr>
            <w:tcW w:w="8086" w:type="dxa"/>
            <w:tcBorders/>
            <w:vAlign w:val="center"/>
          </w:tcPr>
          <w:p>
            <w:pPr>
              <w:pStyle w:val="TableContents"/>
              <w:bidi w:val="0"/>
              <w:spacing w:before="0" w:after="283"/>
              <w:jc w:val="both"/>
              <w:rPr/>
            </w:pPr>
            <w:r>
              <w:rPr/>
              <w:t>means the Electronic Transactions Act (Revised) of the Cayman Islands.</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c>
          <w:tcPr>
            <w:tcW w:w="80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w:t>
            </w:r>
            <w:r>
              <w:rPr>
                <w:b/>
              </w:rPr>
              <w:t>Exchange Act”</w:t>
            </w:r>
          </w:p>
        </w:tc>
        <w:tc>
          <w:tcPr>
            <w:tcW w:w="8086" w:type="dxa"/>
            <w:tcBorders/>
            <w:vAlign w:val="center"/>
          </w:tcPr>
          <w:p>
            <w:pPr>
              <w:pStyle w:val="TableContents"/>
              <w:bidi w:val="0"/>
              <w:spacing w:before="0" w:after="283"/>
              <w:jc w:val="both"/>
              <w:rPr/>
            </w:pPr>
            <w:r>
              <w:rPr/>
              <w:t>means the United States Securities Exchange Act of 1934, as amended, or any similar U.S. federal statute and the rules and regulations of the Securities and Exchange Commission thereunder, all as the same shall be in effect at the time.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5"/>
        <w:gridCol w:w="280"/>
        <w:gridCol w:w="8005"/>
      </w:tblGrid>
      <w:tr>
        <w:trPr/>
        <w:tc>
          <w:tcPr>
            <w:tcW w:w="75"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w:t>
            </w:r>
            <w:r>
              <w:rPr>
                <w:b/>
              </w:rPr>
              <w:t>Family Members”</w:t>
            </w:r>
          </w:p>
        </w:tc>
        <w:tc>
          <w:tcPr>
            <w:tcW w:w="8285" w:type="dxa"/>
            <w:gridSpan w:val="2"/>
            <w:tcBorders/>
            <w:vAlign w:val="center"/>
          </w:tcPr>
          <w:p>
            <w:pPr>
              <w:pStyle w:val="TableContents"/>
              <w:bidi w:val="0"/>
              <w:spacing w:before="0" w:after="283"/>
              <w:jc w:val="left"/>
              <w:rPr/>
            </w:pPr>
            <w:r>
              <w:rPr/>
              <w:t>means and includes only the following individuals:</w:t>
            </w:r>
          </w:p>
        </w:tc>
      </w:tr>
      <w:tr>
        <w:trPr/>
        <w:tc>
          <w:tcPr>
            <w:tcW w:w="75"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8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(a)</w:t>
            </w:r>
          </w:p>
        </w:tc>
        <w:tc>
          <w:tcPr>
            <w:tcW w:w="8005" w:type="dxa"/>
            <w:tcBorders/>
            <w:vAlign w:val="center"/>
          </w:tcPr>
          <w:p>
            <w:pPr>
              <w:pStyle w:val="TableContents"/>
              <w:bidi w:val="0"/>
              <w:spacing w:before="0" w:after="283"/>
              <w:jc w:val="left"/>
              <w:rPr/>
            </w:pPr>
            <w:r>
              <w:rPr/>
              <w:t>the applicable individual;</w:t>
            </w:r>
          </w:p>
        </w:tc>
      </w:tr>
      <w:tr>
        <w:trPr/>
        <w:tc>
          <w:tcPr>
            <w:tcW w:w="75"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8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(b)</w:t>
            </w:r>
          </w:p>
        </w:tc>
        <w:tc>
          <w:tcPr>
            <w:tcW w:w="8005" w:type="dxa"/>
            <w:tcBorders/>
            <w:vAlign w:val="center"/>
          </w:tcPr>
          <w:p>
            <w:pPr>
              <w:pStyle w:val="TableContents"/>
              <w:bidi w:val="0"/>
              <w:spacing w:before="0" w:after="283"/>
              <w:jc w:val="left"/>
              <w:rPr/>
            </w:pPr>
            <w:r>
              <w:rPr/>
              <w:t>the spouse of the applicable individual (including former spouses);</w:t>
            </w:r>
          </w:p>
        </w:tc>
      </w:tr>
      <w:tr>
        <w:trPr/>
        <w:tc>
          <w:tcPr>
            <w:tcW w:w="75"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8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(c)</w:t>
            </w:r>
          </w:p>
        </w:tc>
        <w:tc>
          <w:tcPr>
            <w:tcW w:w="8005" w:type="dxa"/>
            <w:tcBorders/>
            <w:vAlign w:val="center"/>
          </w:tcPr>
          <w:p>
            <w:pPr>
              <w:pStyle w:val="TableContents"/>
              <w:bidi w:val="0"/>
              <w:jc w:val="left"/>
              <w:rPr/>
            </w:pPr>
            <w:r>
              <w:rPr/>
              <w:t>the parents of the applicable individual;</w:t>
            </w:r>
          </w:p>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(d)</w:t>
            </w:r>
          </w:p>
        </w:tc>
        <w:tc>
          <w:tcPr>
            <w:tcW w:w="8005" w:type="dxa"/>
            <w:tcBorders/>
            <w:vAlign w:val="center"/>
          </w:tcPr>
          <w:p>
            <w:pPr>
              <w:pStyle w:val="TableContents"/>
              <w:bidi w:val="0"/>
              <w:spacing w:before="0" w:after="283"/>
              <w:jc w:val="left"/>
              <w:rPr/>
            </w:pPr>
            <w:r>
              <w:rPr/>
              <w:t>the lineal descendants of the applicable individual, the siblings of the applicable individual; and</w:t>
            </w:r>
          </w:p>
        </w:tc>
      </w:tr>
      <w:tr>
        <w:trPr/>
        <w:tc>
          <w:tcPr>
            <w:tcW w:w="75"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8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(e)</w:t>
            </w:r>
          </w:p>
        </w:tc>
        <w:tc>
          <w:tcPr>
            <w:tcW w:w="8005" w:type="dxa"/>
            <w:tcBorders/>
            <w:vAlign w:val="center"/>
          </w:tcPr>
          <w:p>
            <w:pPr>
              <w:pStyle w:val="TableContents"/>
              <w:bidi w:val="0"/>
              <w:spacing w:before="0" w:after="283"/>
              <w:jc w:val="left"/>
              <w:rPr/>
            </w:pPr>
            <w:r>
              <w:rPr/>
              <w:t>the lineal descendants of a sibling of the applicable individual.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73"/>
        <w:gridCol w:w="8257"/>
      </w:tblGrid>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For purposes of the preceding clauses (a) to (e), the descendants of any individual shall include adopted individuals and their issue but only if the adopted individual was adopted prior to attaining age eighteen.</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w:t>
            </w:r>
            <w:r>
              <w:rPr>
                <w:b/>
              </w:rPr>
              <w:t>Incapacity”</w:t>
            </w:r>
          </w:p>
        </w:tc>
        <w:tc>
          <w:tcPr>
            <w:tcW w:w="8257" w:type="dxa"/>
            <w:tcBorders/>
            <w:vAlign w:val="center"/>
          </w:tcPr>
          <w:p>
            <w:pPr>
              <w:pStyle w:val="TableContents"/>
              <w:bidi w:val="0"/>
              <w:spacing w:before="0" w:after="283"/>
              <w:jc w:val="both"/>
              <w:rPr/>
            </w:pPr>
            <w:r>
              <w:rPr/>
              <w:t>means, with respect to an individual, the permanent and total disability of such individual so that such individual is unable to engage in any substantial gainful activity by reason of any medically determinable mental impairment which can be expected to result in death or which has lasted or can be expected to last for a continuous period of not less than twelve (12) months as determined by a licensed medical practitioner. In the event of a dispute regarding whether an individual has suffered an Incapacity, no Incapacity of such individual will be deemed to have occurred unless and until an affirmative ruling regarding such Incapacity has been made by a court or arbitral panel of competent jurisdiction, and such ruling has become final and non-appealable.</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w:t>
            </w:r>
            <w:r>
              <w:rPr>
                <w:b/>
              </w:rPr>
              <w:t>Independent Director”</w:t>
            </w:r>
          </w:p>
        </w:tc>
        <w:tc>
          <w:tcPr>
            <w:tcW w:w="8257" w:type="dxa"/>
            <w:tcBorders/>
            <w:vAlign w:val="center"/>
          </w:tcPr>
          <w:p>
            <w:pPr>
              <w:pStyle w:val="TableContents"/>
              <w:bidi w:val="0"/>
              <w:jc w:val="both"/>
              <w:rPr/>
            </w:pPr>
            <w:r>
              <w:rPr/>
              <w:t>has the same meaning as in the rules and regulations of the Designated Stock Exchange or in Rule 10A-3 under the Exchange Act, as the case may be.</w:t>
            </w:r>
          </w:p>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w:t>
            </w:r>
            <w:r>
              <w:rPr>
                <w:b/>
              </w:rPr>
              <w:t>Member”</w:t>
            </w:r>
          </w:p>
        </w:tc>
        <w:tc>
          <w:tcPr>
            <w:tcW w:w="8257" w:type="dxa"/>
            <w:tcBorders/>
            <w:vAlign w:val="center"/>
          </w:tcPr>
          <w:p>
            <w:pPr>
              <w:pStyle w:val="TableContents"/>
              <w:bidi w:val="0"/>
              <w:spacing w:before="0" w:after="283"/>
              <w:jc w:val="both"/>
              <w:rPr/>
            </w:pPr>
            <w:r>
              <w:rPr/>
              <w:t>has the same meaning as in the Statute.</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w:t>
            </w:r>
            <w:r>
              <w:rPr>
                <w:b/>
              </w:rPr>
              <w:t>Memorandum”</w:t>
            </w:r>
          </w:p>
        </w:tc>
        <w:tc>
          <w:tcPr>
            <w:tcW w:w="8257" w:type="dxa"/>
            <w:tcBorders/>
            <w:vAlign w:val="center"/>
          </w:tcPr>
          <w:p>
            <w:pPr>
              <w:pStyle w:val="TableContents"/>
              <w:bidi w:val="0"/>
              <w:spacing w:before="0" w:after="283"/>
              <w:jc w:val="both"/>
              <w:rPr/>
            </w:pPr>
            <w:r>
              <w:rPr/>
              <w:t>means the memorandum of association of the Company, as amended, supplemented and/or restated from time to time.</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w:t>
            </w:r>
            <w:r>
              <w:rPr>
                <w:b/>
              </w:rPr>
              <w:t>Merger Agreement”</w:t>
            </w:r>
          </w:p>
        </w:tc>
        <w:tc>
          <w:tcPr>
            <w:tcW w:w="8257" w:type="dxa"/>
            <w:tcBorders/>
            <w:vAlign w:val="center"/>
          </w:tcPr>
          <w:p>
            <w:pPr>
              <w:pStyle w:val="TableContents"/>
              <w:bidi w:val="0"/>
              <w:spacing w:before="0" w:after="283"/>
              <w:jc w:val="both"/>
              <w:rPr/>
            </w:pPr>
            <w:r>
              <w:rPr/>
              <w:t>means the Agreement and Plan of Merger entered into by and among the Company, Saiheat Merger Sub, Inc., Canopy Wave Inc., Taoyue (Tao) Zhang and Chunyi (James) Liao, dated as of August 10, 2026.</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w:t>
            </w:r>
            <w:r>
              <w:rPr>
                <w:b/>
              </w:rPr>
              <w:t>Nominating and Corporate Governance Committee”</w:t>
            </w:r>
          </w:p>
        </w:tc>
        <w:tc>
          <w:tcPr>
            <w:tcW w:w="8257" w:type="dxa"/>
            <w:tcBorders/>
            <w:vAlign w:val="center"/>
          </w:tcPr>
          <w:p>
            <w:pPr>
              <w:pStyle w:val="TableContents"/>
              <w:bidi w:val="0"/>
              <w:spacing w:before="0" w:after="283"/>
              <w:jc w:val="both"/>
              <w:rPr/>
            </w:pPr>
            <w:r>
              <w:rPr/>
              <w:t>means the nominating and corporate governance committee of the board of directors of the Company established pursuant to the Articles, or any successor committee.</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w:t>
            </w:r>
            <w:r>
              <w:rPr>
                <w:b/>
              </w:rPr>
              <w:t>Officer”</w:t>
            </w:r>
          </w:p>
        </w:tc>
        <w:tc>
          <w:tcPr>
            <w:tcW w:w="8257" w:type="dxa"/>
            <w:tcBorders/>
            <w:vAlign w:val="center"/>
          </w:tcPr>
          <w:p>
            <w:pPr>
              <w:pStyle w:val="TableContents"/>
              <w:bidi w:val="0"/>
              <w:spacing w:before="0" w:after="283"/>
              <w:jc w:val="both"/>
              <w:rPr/>
            </w:pPr>
            <w:r>
              <w:rPr/>
              <w:t>means a Person appointed to hold an office in the Company.</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3" w:type="dxa"/>
            <w:tcBorders/>
            <w:vAlign w:val="center"/>
          </w:tcPr>
          <w:p>
            <w:pPr>
              <w:pStyle w:val="TableContents"/>
              <w:bidi w:val="0"/>
              <w:spacing w:before="0" w:after="283"/>
              <w:jc w:val="left"/>
              <w:rPr/>
            </w:pPr>
            <w:r>
              <w:rPr/>
              <w:t>“</w:t>
            </w:r>
            <w:r>
              <w:rPr>
                <w:b/>
              </w:rPr>
              <w:t>Ordinary Resolution”</w:t>
            </w:r>
          </w:p>
        </w:tc>
        <w:tc>
          <w:tcPr>
            <w:tcW w:w="8257" w:type="dxa"/>
            <w:tcBorders/>
            <w:vAlign w:val="center"/>
          </w:tcPr>
          <w:p>
            <w:pPr>
              <w:pStyle w:val="TableContents"/>
              <w:bidi w:val="0"/>
              <w:spacing w:before="0" w:after="283"/>
              <w:jc w:val="both"/>
              <w:rPr/>
            </w:pPr>
            <w:r>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left"/>
        <w:rPr/>
      </w:pPr>
      <w:r>
        <w:rPr/>
        <w:t> </w:t>
      </w:r>
    </w:p>
    <w:tbl>
      <w:tblPr>
        <w:tblW w:w="6835" w:type="dxa"/>
        <w:jc w:val="left"/>
        <w:tblInd w:w="0" w:type="dxa"/>
        <w:tblLayout w:type="fixed"/>
        <w:tblCellMar>
          <w:top w:w="0" w:type="dxa"/>
          <w:left w:w="0" w:type="dxa"/>
          <w:bottom w:w="0" w:type="dxa"/>
          <w:right w:w="0" w:type="dxa"/>
        </w:tblCellMar>
      </w:tblPr>
      <w:tblGrid>
        <w:gridCol w:w="75"/>
        <w:gridCol w:w="1655"/>
        <w:gridCol w:w="5105"/>
      </w:tblGrid>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w:t>
            </w:r>
            <w:r>
              <w:rPr>
                <w:b/>
                <w:sz w:val="20"/>
              </w:rPr>
              <w:t>Ordinary Shares”</w:t>
            </w:r>
          </w:p>
        </w:tc>
        <w:tc>
          <w:tcPr>
            <w:tcW w:w="5105" w:type="dxa"/>
            <w:tcBorders/>
            <w:vAlign w:val="center"/>
          </w:tcPr>
          <w:p>
            <w:pPr>
              <w:pStyle w:val="TableContents"/>
              <w:bidi w:val="0"/>
              <w:spacing w:before="0" w:after="283"/>
              <w:jc w:val="left"/>
              <w:rPr>
                <w:sz w:val="20"/>
              </w:rPr>
            </w:pPr>
            <w:r>
              <w:rPr>
                <w:sz w:val="20"/>
              </w:rPr>
              <w:t>means, collectively, the Class A Shares and the Class B Shares.</w:t>
            </w:r>
          </w:p>
        </w:tc>
      </w:tr>
    </w:tbl>
    <w:p>
      <w:pPr>
        <w:pStyle w:val="TextBody"/>
        <w:bidi w:val="0"/>
        <w:spacing w:before="0" w:after="283"/>
        <w:jc w:val="left"/>
        <w:rPr/>
      </w:pPr>
      <w:r>
        <w:rPr/>
        <w:t> </w:t>
      </w:r>
    </w:p>
    <w:tbl>
      <w:tblPr>
        <w:tblW w:w="4675" w:type="dxa"/>
        <w:jc w:val="left"/>
        <w:tblInd w:w="0" w:type="dxa"/>
        <w:tblLayout w:type="fixed"/>
        <w:tblCellMar>
          <w:top w:w="0" w:type="dxa"/>
          <w:left w:w="0" w:type="dxa"/>
          <w:bottom w:w="0" w:type="dxa"/>
          <w:right w:w="0" w:type="dxa"/>
        </w:tblCellMar>
      </w:tblPr>
      <w:tblGrid>
        <w:gridCol w:w="75"/>
        <w:gridCol w:w="1640"/>
        <w:gridCol w:w="2960"/>
      </w:tblGrid>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w:t>
            </w:r>
            <w:r>
              <w:rPr>
                <w:b/>
                <w:sz w:val="20"/>
              </w:rPr>
              <w:t>Permitted Entity”</w:t>
            </w:r>
          </w:p>
        </w:tc>
        <w:tc>
          <w:tcPr>
            <w:tcW w:w="2960" w:type="dxa"/>
            <w:tcBorders/>
            <w:vAlign w:val="center"/>
          </w:tcPr>
          <w:p>
            <w:pPr>
              <w:pStyle w:val="TableContents"/>
              <w:bidi w:val="0"/>
              <w:spacing w:before="0" w:after="283"/>
              <w:jc w:val="left"/>
              <w:rPr>
                <w:sz w:val="20"/>
              </w:rPr>
            </w:pPr>
            <w:r>
              <w:rPr>
                <w:sz w:val="20"/>
              </w:rPr>
              <w:t>means with respect to each Sponsor:</w:t>
            </w:r>
          </w:p>
        </w:tc>
      </w:tr>
    </w:tbl>
    <w:p>
      <w:pPr>
        <w:pStyle w:val="TextBody"/>
        <w:bidi w:val="0"/>
        <w:spacing w:before="0" w:after="283"/>
        <w:jc w:val="left"/>
        <w:rPr/>
      </w:pPr>
      <w:r>
        <w:rPr/>
        <w:t> </w:t>
      </w:r>
    </w:p>
    <w:tbl>
      <w:tblPr>
        <w:tblW w:w="7150" w:type="dxa"/>
        <w:jc w:val="left"/>
        <w:tblInd w:w="0" w:type="dxa"/>
        <w:tblLayout w:type="fixed"/>
        <w:tblCellMar>
          <w:top w:w="0" w:type="dxa"/>
          <w:left w:w="0" w:type="dxa"/>
          <w:bottom w:w="0" w:type="dxa"/>
          <w:right w:w="0" w:type="dxa"/>
        </w:tblCellMar>
      </w:tblPr>
      <w:tblGrid>
        <w:gridCol w:w="75"/>
        <w:gridCol w:w="60"/>
        <w:gridCol w:w="275"/>
        <w:gridCol w:w="67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740" w:type="dxa"/>
            <w:tcBorders/>
            <w:vAlign w:val="center"/>
          </w:tcPr>
          <w:p>
            <w:pPr>
              <w:pStyle w:val="TableContents"/>
              <w:bidi w:val="0"/>
              <w:spacing w:before="0" w:after="283"/>
              <w:jc w:val="left"/>
              <w:rPr/>
            </w:pPr>
            <w:r>
              <w:rPr/>
              <w:t>any Person in respect of which such Sponsor has, directly or indirectly:</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60"/>
        <w:gridCol w:w="60"/>
        <w:gridCol w:w="230"/>
        <w:gridCol w:w="932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9320" w:type="dxa"/>
            <w:tcBorders/>
            <w:vAlign w:val="center"/>
          </w:tcPr>
          <w:p>
            <w:pPr>
              <w:pStyle w:val="TableContents"/>
              <w:bidi w:val="0"/>
              <w:spacing w:before="0" w:after="283"/>
              <w:jc w:val="both"/>
              <w:rPr/>
            </w:pPr>
            <w:r>
              <w:rPr/>
              <w:t>control with respect to the voting of all the Class B Shares held or to be transferred to such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244"/>
        <w:gridCol w:w="9766"/>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(ii)</w:t>
            </w:r>
          </w:p>
        </w:tc>
        <w:tc>
          <w:tcPr>
            <w:tcW w:w="9766" w:type="dxa"/>
            <w:tcBorders/>
            <w:vAlign w:val="center"/>
          </w:tcPr>
          <w:p>
            <w:pPr>
              <w:pStyle w:val="TableContents"/>
              <w:bidi w:val="0"/>
              <w:spacing w:before="0" w:after="283"/>
              <w:jc w:val="both"/>
              <w:rPr/>
            </w:pPr>
            <w:r>
              <w:rPr/>
              <w:t>the ability to direct or cause the direction of management and policies of such Person or any other Person having the authority referred to in the preceding clause (a)(i) (whether by contract, as executor, trustee, trust protector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312"/>
        <w:gridCol w:w="9698"/>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(iii)</w:t>
            </w:r>
          </w:p>
        </w:tc>
        <w:tc>
          <w:tcPr>
            <w:tcW w:w="9698" w:type="dxa"/>
            <w:tcBorders/>
            <w:vAlign w:val="center"/>
          </w:tcPr>
          <w:p>
            <w:pPr>
              <w:pStyle w:val="TableContents"/>
              <w:bidi w:val="0"/>
              <w:spacing w:before="0" w:after="283"/>
              <w:jc w:val="both"/>
              <w:rPr/>
            </w:pPr>
            <w:r>
              <w:rPr/>
              <w:t>the operational or practical control of such Person, including the right to appoint, designate, remove or replace the Person having the authority referred to in the preceding clauses (a)(i) or (ii)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60"/>
        <w:gridCol w:w="981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(b)</w:t>
            </w:r>
          </w:p>
        </w:tc>
        <w:tc>
          <w:tcPr>
            <w:tcW w:w="9810" w:type="dxa"/>
            <w:tcBorders/>
            <w:vAlign w:val="center"/>
          </w:tcPr>
          <w:p>
            <w:pPr>
              <w:pStyle w:val="TableContents"/>
              <w:bidi w:val="0"/>
              <w:spacing w:before="0" w:after="283"/>
              <w:jc w:val="both"/>
              <w:rPr/>
            </w:pPr>
            <w:r>
              <w:rPr/>
              <w:t>any trust the beneficiaries of which consist primarily of such Sponsor, his Family Members, and/or any Persons controlled directly or indirectly by such a trust; and</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60"/>
        <w:gridCol w:w="275"/>
        <w:gridCol w:w="683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6830" w:type="dxa"/>
            <w:tcBorders/>
            <w:vAlign w:val="center"/>
          </w:tcPr>
          <w:p>
            <w:pPr>
              <w:pStyle w:val="TableContents"/>
              <w:bidi w:val="0"/>
              <w:spacing w:before="0" w:after="283"/>
              <w:jc w:val="left"/>
              <w:rPr/>
            </w:pPr>
            <w:r>
              <w:rPr/>
              <w:t>any Person designated by such Sponsor in writing as a Permitted Entity.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4"/>
        <w:gridCol w:w="7776"/>
      </w:tblGrid>
      <w:tr>
        <w:trPr/>
        <w:tc>
          <w:tcPr>
            <w:tcW w:w="75" w:type="dxa"/>
            <w:tcBorders/>
            <w:vAlign w:val="center"/>
          </w:tcPr>
          <w:p>
            <w:pPr>
              <w:pStyle w:val="TableContents"/>
              <w:bidi w:val="0"/>
              <w:spacing w:before="0" w:after="283"/>
              <w:jc w:val="left"/>
              <w:rPr/>
            </w:pPr>
            <w:r>
              <w:rPr/>
              <w:t> </w:t>
            </w:r>
          </w:p>
        </w:tc>
        <w:tc>
          <w:tcPr>
            <w:tcW w:w="2354" w:type="dxa"/>
            <w:tcBorders/>
            <w:vAlign w:val="center"/>
          </w:tcPr>
          <w:p>
            <w:pPr>
              <w:pStyle w:val="TableContents"/>
              <w:bidi w:val="0"/>
              <w:spacing w:before="0" w:after="283"/>
              <w:jc w:val="left"/>
              <w:rPr/>
            </w:pPr>
            <w:r>
              <w:rPr/>
              <w:t>“</w:t>
            </w:r>
            <w:r>
              <w:rPr>
                <w:b/>
              </w:rPr>
              <w:t>Permitted Transferee”</w:t>
            </w:r>
          </w:p>
        </w:tc>
        <w:tc>
          <w:tcPr>
            <w:tcW w:w="7776" w:type="dxa"/>
            <w:tcBorders/>
            <w:vAlign w:val="center"/>
          </w:tcPr>
          <w:p>
            <w:pPr>
              <w:pStyle w:val="TableContents"/>
              <w:bidi w:val="0"/>
              <w:spacing w:before="0" w:after="283"/>
              <w:jc w:val="both"/>
              <w:rPr/>
            </w:pPr>
            <w:r>
              <w:rPr/>
              <w:t>means, with respect to the Class B Ordinary Shareholders, any or all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50"/>
        <w:gridCol w:w="982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(a)</w:t>
            </w:r>
          </w:p>
        </w:tc>
        <w:tc>
          <w:tcPr>
            <w:tcW w:w="9820" w:type="dxa"/>
            <w:tcBorders/>
            <w:vAlign w:val="center"/>
          </w:tcPr>
          <w:p>
            <w:pPr>
              <w:pStyle w:val="TableContents"/>
              <w:bidi w:val="0"/>
              <w:spacing w:before="0" w:after="283"/>
              <w:jc w:val="left"/>
              <w:rPr/>
            </w:pPr>
            <w:r>
              <w:rPr/>
              <w:t>any Sponsor;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(b)</w:t>
            </w:r>
          </w:p>
        </w:tc>
        <w:tc>
          <w:tcPr>
            <w:tcW w:w="9820" w:type="dxa"/>
            <w:tcBorders/>
            <w:vAlign w:val="center"/>
          </w:tcPr>
          <w:p>
            <w:pPr>
              <w:pStyle w:val="TableContents"/>
              <w:bidi w:val="0"/>
              <w:spacing w:before="0" w:after="283"/>
              <w:jc w:val="left"/>
              <w:rPr/>
            </w:pPr>
            <w:r>
              <w:rPr/>
              <w:t>any Permitted Entities;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(c)</w:t>
            </w:r>
          </w:p>
        </w:tc>
        <w:tc>
          <w:tcPr>
            <w:tcW w:w="9820" w:type="dxa"/>
            <w:tcBorders/>
            <w:vAlign w:val="center"/>
          </w:tcPr>
          <w:p>
            <w:pPr>
              <w:pStyle w:val="TableContents"/>
              <w:bidi w:val="0"/>
              <w:spacing w:before="0" w:after="283"/>
              <w:jc w:val="left"/>
              <w:rPr/>
            </w:pPr>
            <w:r>
              <w:rPr/>
              <w:t>any Family Members of any Sponsor;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both"/>
              <w:rPr/>
            </w:pPr>
            <w:r>
              <w:rPr/>
              <w:t>(d)</w:t>
            </w:r>
          </w:p>
        </w:tc>
        <w:tc>
          <w:tcPr>
            <w:tcW w:w="9820" w:type="dxa"/>
            <w:tcBorders/>
            <w:vAlign w:val="center"/>
          </w:tcPr>
          <w:p>
            <w:pPr>
              <w:pStyle w:val="TableContents"/>
              <w:bidi w:val="0"/>
              <w:spacing w:before="0" w:after="283"/>
              <w:jc w:val="both"/>
              <w:rPr/>
            </w:pPr>
            <w:r>
              <w:rPr/>
              <w:t>any other relative of any Sponsor approved by the board of directors of the Company;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both"/>
              <w:rPr/>
            </w:pPr>
            <w:r>
              <w:rPr/>
              <w:t>(e)</w:t>
            </w:r>
          </w:p>
        </w:tc>
        <w:tc>
          <w:tcPr>
            <w:tcW w:w="9820" w:type="dxa"/>
            <w:tcBorders/>
            <w:vAlign w:val="center"/>
          </w:tcPr>
          <w:p>
            <w:pPr>
              <w:pStyle w:val="TableContents"/>
              <w:bidi w:val="0"/>
              <w:spacing w:before="0" w:after="283"/>
              <w:jc w:val="both"/>
              <w:rPr/>
            </w:pPr>
            <w:r>
              <w:rPr/>
              <w:t>any transferee by operation of law, including in connection with divorce proceedings;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(f)</w:t>
            </w:r>
          </w:p>
        </w:tc>
        <w:tc>
          <w:tcPr>
            <w:tcW w:w="9820" w:type="dxa"/>
            <w:tcBorders/>
            <w:vAlign w:val="center"/>
          </w:tcPr>
          <w:p>
            <w:pPr>
              <w:pStyle w:val="TableContents"/>
              <w:bidi w:val="0"/>
              <w:spacing w:before="0" w:after="283"/>
              <w:jc w:val="left"/>
              <w:rPr/>
            </w:pPr>
            <w:r>
              <w:rPr/>
              <w:t>any charitable organization, foundation or similar entity;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both"/>
              <w:rPr/>
            </w:pPr>
            <w:r>
              <w:rPr/>
              <w:t>(g)</w:t>
            </w:r>
          </w:p>
        </w:tc>
        <w:tc>
          <w:tcPr>
            <w:tcW w:w="9820" w:type="dxa"/>
            <w:tcBorders/>
            <w:vAlign w:val="center"/>
          </w:tcPr>
          <w:p>
            <w:pPr>
              <w:pStyle w:val="TableContents"/>
              <w:bidi w:val="0"/>
              <w:spacing w:before="0" w:after="283"/>
              <w:jc w:val="both"/>
              <w:rPr/>
            </w:pPr>
            <w:r>
              <w:rPr/>
              <w:t>in connection with a transfer as a result of, or in connection with the death or Incapacity of any Sponsor, any Family Member of such Sponsor or other designee, in each case, approved by the Directors;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(h)</w:t>
            </w:r>
          </w:p>
        </w:tc>
        <w:tc>
          <w:tcPr>
            <w:tcW w:w="9820" w:type="dxa"/>
            <w:tcBorders/>
            <w:vAlign w:val="center"/>
          </w:tcPr>
          <w:p>
            <w:pPr>
              <w:pStyle w:val="TableContents"/>
              <w:bidi w:val="0"/>
              <w:spacing w:before="0" w:after="283"/>
              <w:jc w:val="left"/>
              <w:rPr/>
            </w:pPr>
            <w:r>
              <w:rPr/>
              <w:t>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7"/>
        <w:gridCol w:w="8473"/>
      </w:tblGrid>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both"/>
              <w:rPr/>
            </w:pPr>
            <w:r>
              <w:rPr/>
              <w:t xml:space="preserve">provided that, in the case of any transfer of Class B Shares pursuant to clauses (b) through (f) above to a Person who at a later time ceases to qualify as a Permitted Transferee under the relevant clause, the Company shall be able to refuse registration of any subsequent transfer of such Class B Shares except back to such Sponsor or his Permitted Entities, and in the absence of such transfer back to such Sponsor or his Permitted Entities, the applicable Class B Shares shall automatically convert in accordance with Article 17.4 applied </w:t>
            </w:r>
            <w:r>
              <w:rPr>
                <w:i/>
              </w:rPr>
              <w:t>mutatis mutandis</w:t>
            </w:r>
            <w:r>
              <w:rPr/>
              <w:t>.</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Person”</w:t>
            </w:r>
          </w:p>
        </w:tc>
        <w:tc>
          <w:tcPr>
            <w:tcW w:w="8473" w:type="dxa"/>
            <w:tcBorders/>
            <w:vAlign w:val="center"/>
          </w:tcPr>
          <w:p>
            <w:pPr>
              <w:pStyle w:val="TableContents"/>
              <w:bidi w:val="0"/>
              <w:spacing w:before="0" w:after="283"/>
              <w:jc w:val="both"/>
              <w:rPr/>
            </w:pPr>
            <w:r>
              <w:rPr/>
              <w:t>means any individual, corporation, partnership, joint venture, trust, unincorporated organization, limited liability company, estate, association, joint stock company, unincorporated organization, company or other form of business or legal entity or government authority.</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Register of Members”</w:t>
            </w:r>
          </w:p>
        </w:tc>
        <w:tc>
          <w:tcPr>
            <w:tcW w:w="8473" w:type="dxa"/>
            <w:tcBorders/>
            <w:vAlign w:val="center"/>
          </w:tcPr>
          <w:p>
            <w:pPr>
              <w:pStyle w:val="TableContents"/>
              <w:bidi w:val="0"/>
              <w:spacing w:before="0" w:after="283"/>
              <w:jc w:val="both"/>
              <w:rPr/>
            </w:pPr>
            <w:r>
              <w:rPr/>
              <w:t>means the register of Members maintained in accordance with the Statute and includes (except where otherwise stated) any branch or duplicate register of Members.</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Registered Office”</w:t>
            </w:r>
          </w:p>
        </w:tc>
        <w:tc>
          <w:tcPr>
            <w:tcW w:w="8473" w:type="dxa"/>
            <w:tcBorders/>
            <w:vAlign w:val="center"/>
          </w:tcPr>
          <w:p>
            <w:pPr>
              <w:pStyle w:val="TableContents"/>
              <w:bidi w:val="0"/>
              <w:spacing w:before="0" w:after="283"/>
              <w:jc w:val="left"/>
              <w:rPr/>
            </w:pPr>
            <w:r>
              <w:rPr/>
              <w:t>means the registered office for the time being of the Company.</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Seal”</w:t>
            </w:r>
          </w:p>
        </w:tc>
        <w:tc>
          <w:tcPr>
            <w:tcW w:w="8473" w:type="dxa"/>
            <w:tcBorders/>
            <w:vAlign w:val="center"/>
          </w:tcPr>
          <w:p>
            <w:pPr>
              <w:pStyle w:val="TableContents"/>
              <w:bidi w:val="0"/>
              <w:spacing w:before="0" w:after="283"/>
              <w:jc w:val="left"/>
              <w:rPr/>
            </w:pPr>
            <w:r>
              <w:rPr/>
              <w:t>means the common seal of the Company and includes every duplicate seal.</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Securities Act”</w:t>
            </w:r>
          </w:p>
        </w:tc>
        <w:tc>
          <w:tcPr>
            <w:tcW w:w="8473" w:type="dxa"/>
            <w:tcBorders/>
            <w:vAlign w:val="center"/>
          </w:tcPr>
          <w:p>
            <w:pPr>
              <w:pStyle w:val="TableContents"/>
              <w:bidi w:val="0"/>
              <w:spacing w:before="0" w:after="283"/>
              <w:jc w:val="left"/>
              <w:rPr/>
            </w:pPr>
            <w:r>
              <w:rPr/>
              <w:t>means the U.S. Securities Act of 1933.</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Securities and Exchange Commission”</w:t>
            </w:r>
          </w:p>
        </w:tc>
        <w:tc>
          <w:tcPr>
            <w:tcW w:w="8473" w:type="dxa"/>
            <w:tcBorders/>
            <w:vAlign w:val="center"/>
          </w:tcPr>
          <w:p>
            <w:pPr>
              <w:pStyle w:val="TableContents"/>
              <w:bidi w:val="0"/>
              <w:spacing w:before="0" w:after="283"/>
              <w:jc w:val="left"/>
              <w:rPr/>
            </w:pPr>
            <w:r>
              <w:rPr/>
              <w:t>means the United States Securities and Exchange Commission.</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Share”</w:t>
            </w:r>
          </w:p>
        </w:tc>
        <w:tc>
          <w:tcPr>
            <w:tcW w:w="8473" w:type="dxa"/>
            <w:tcBorders/>
            <w:vAlign w:val="center"/>
          </w:tcPr>
          <w:p>
            <w:pPr>
              <w:pStyle w:val="TableContents"/>
              <w:bidi w:val="0"/>
              <w:spacing w:before="0" w:after="283"/>
              <w:jc w:val="both"/>
              <w:rPr/>
            </w:pPr>
            <w:r>
              <w:rPr/>
              <w:t>means a share in the capital of the Company and includes a fraction of a share in the Company.</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Special Resolution”</w:t>
            </w:r>
          </w:p>
        </w:tc>
        <w:tc>
          <w:tcPr>
            <w:tcW w:w="8473" w:type="dxa"/>
            <w:tcBorders/>
            <w:vAlign w:val="center"/>
          </w:tcPr>
          <w:p>
            <w:pPr>
              <w:pStyle w:val="TableContents"/>
              <w:bidi w:val="0"/>
              <w:spacing w:before="0" w:after="283"/>
              <w:jc w:val="both"/>
              <w:rPr/>
            </w:pPr>
            <w:r>
              <w:rPr/>
              <w:t>has the same meaning as in the Statute, and includes a unanimous written resolution.</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Sponsor”</w:t>
            </w:r>
          </w:p>
        </w:tc>
        <w:tc>
          <w:tcPr>
            <w:tcW w:w="8473" w:type="dxa"/>
            <w:tcBorders/>
            <w:vAlign w:val="center"/>
          </w:tcPr>
          <w:p>
            <w:pPr>
              <w:pStyle w:val="TableContents"/>
              <w:bidi w:val="0"/>
              <w:spacing w:before="0" w:after="283"/>
              <w:jc w:val="left"/>
              <w:rPr/>
            </w:pPr>
            <w:r>
              <w:rPr/>
              <w:t>means each ultimate beneficial owner of the Class B Shares.</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Statute”</w:t>
            </w:r>
          </w:p>
        </w:tc>
        <w:tc>
          <w:tcPr>
            <w:tcW w:w="8473" w:type="dxa"/>
            <w:tcBorders/>
            <w:vAlign w:val="center"/>
          </w:tcPr>
          <w:p>
            <w:pPr>
              <w:pStyle w:val="TableContents"/>
              <w:bidi w:val="0"/>
              <w:spacing w:before="0" w:after="283"/>
              <w:jc w:val="left"/>
              <w:rPr/>
            </w:pPr>
            <w:r>
              <w:rPr/>
              <w:t>means the Companies Act (Revised) of the Cayman Islands.</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w:t>
            </w:r>
            <w:r>
              <w:rPr>
                <w:b/>
              </w:rPr>
              <w:t>Treasury Share”</w:t>
            </w:r>
          </w:p>
        </w:tc>
        <w:tc>
          <w:tcPr>
            <w:tcW w:w="8473" w:type="dxa"/>
            <w:tcBorders/>
            <w:vAlign w:val="center"/>
          </w:tcPr>
          <w:p>
            <w:pPr>
              <w:pStyle w:val="TableContents"/>
              <w:bidi w:val="0"/>
              <w:spacing w:before="0" w:after="283"/>
              <w:jc w:val="both"/>
              <w:rPr/>
            </w:pPr>
            <w:r>
              <w:rPr/>
              <w:t>means a Share held in the name of the Company as a treasury share in accordance with the Statute.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827"/>
        <w:gridCol w:w="8162"/>
      </w:tblGrid>
      <w:tr>
        <w:trPr/>
        <w:tc>
          <w:tcPr>
            <w:tcW w:w="216"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pPr>
            <w:r>
              <w:rPr/>
              <w:t>1.2</w:t>
            </w:r>
          </w:p>
        </w:tc>
        <w:tc>
          <w:tcPr>
            <w:tcW w:w="8162" w:type="dxa"/>
            <w:tcBorders/>
            <w:vAlign w:val="center"/>
          </w:tcPr>
          <w:p>
            <w:pPr>
              <w:pStyle w:val="TableContents"/>
              <w:bidi w:val="0"/>
              <w:spacing w:before="0" w:after="283"/>
              <w:jc w:val="left"/>
              <w:rPr/>
            </w:pPr>
            <w:r>
              <w:rPr/>
              <w:t>In the Articles:</w:t>
            </w:r>
          </w:p>
        </w:tc>
      </w:tr>
    </w:tbl>
    <w:p>
      <w:pPr>
        <w:pStyle w:val="TextBody"/>
        <w:bidi w:val="0"/>
        <w:spacing w:before="0" w:after="0"/>
        <w:ind w:left="1080" w:right="0" w:hanging="36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75"/>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475" w:type="dxa"/>
            <w:tcBorders/>
            <w:vAlign w:val="center"/>
          </w:tcPr>
          <w:p>
            <w:pPr>
              <w:pStyle w:val="TableContents"/>
              <w:bidi w:val="0"/>
              <w:spacing w:before="0" w:after="283"/>
              <w:jc w:val="both"/>
              <w:rPr/>
            </w:pPr>
            <w:r>
              <w:rPr/>
              <w:t>words importing the singular number include the plural number and vice versa;</w:t>
            </w:r>
          </w:p>
        </w:tc>
      </w:tr>
    </w:tbl>
    <w:p>
      <w:pPr>
        <w:pStyle w:val="TextBody"/>
        <w:bidi w:val="0"/>
        <w:spacing w:before="0" w:after="0"/>
        <w:ind w:left="1080" w:right="0" w:hanging="36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29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(b)</w:t>
            </w:r>
          </w:p>
        </w:tc>
        <w:tc>
          <w:tcPr>
            <w:tcW w:w="6395" w:type="dxa"/>
            <w:tcBorders/>
            <w:vAlign w:val="center"/>
          </w:tcPr>
          <w:p>
            <w:pPr>
              <w:pStyle w:val="TableContents"/>
              <w:bidi w:val="0"/>
              <w:spacing w:before="0" w:after="283"/>
              <w:jc w:val="both"/>
              <w:rPr/>
            </w:pPr>
            <w:r>
              <w:rPr/>
              <w:t>words importing the masculine gender include the feminine gender;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pPr>
            <w:r>
              <w:rPr/>
              <w:t>(c)</w:t>
            </w:r>
          </w:p>
        </w:tc>
        <w:tc>
          <w:tcPr>
            <w:tcW w:w="9932" w:type="dxa"/>
            <w:tcBorders/>
            <w:vAlign w:val="center"/>
          </w:tcPr>
          <w:p>
            <w:pPr>
              <w:pStyle w:val="TableContents"/>
              <w:bidi w:val="0"/>
              <w:spacing w:before="0" w:after="283"/>
              <w:jc w:val="both"/>
              <w:rPr/>
            </w:pPr>
            <w:r>
              <w:rPr/>
              <w:t>references to any agreement, deed or other instrument (including to these Articles and the Memorandum) are references to that agreement or instrument as amended, restated, or novated from time to time;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both"/>
              <w:rPr/>
            </w:pPr>
            <w:r>
              <w:rPr/>
              <w:t>(d)</w:t>
            </w:r>
          </w:p>
        </w:tc>
        <w:tc>
          <w:tcPr>
            <w:tcW w:w="9900" w:type="dxa"/>
            <w:tcBorders/>
            <w:vAlign w:val="center"/>
          </w:tcPr>
          <w:p>
            <w:pPr>
              <w:pStyle w:val="TableContents"/>
              <w:bidi w:val="0"/>
              <w:spacing w:before="0" w:after="283"/>
              <w:jc w:val="both"/>
              <w:rPr/>
            </w:pPr>
            <w:r>
              <w:rPr/>
              <w:t>“</w:t>
            </w:r>
            <w:r>
              <w:rPr/>
              <w:t>written” and “in writing” include all modes of representing or reproducing words in visible form, including in the form of an Electronic Record;</w:t>
            </w:r>
          </w:p>
        </w:tc>
      </w:tr>
    </w:tbl>
    <w:p>
      <w:pPr>
        <w:pStyle w:val="TextBody"/>
        <w:bidi w:val="0"/>
        <w:spacing w:before="0" w:after="0"/>
        <w:ind w:left="1080" w:right="0" w:hanging="360"/>
        <w:jc w:val="both"/>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7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(e)</w:t>
            </w:r>
          </w:p>
        </w:tc>
        <w:tc>
          <w:tcPr>
            <w:tcW w:w="7955" w:type="dxa"/>
            <w:tcBorders/>
            <w:vAlign w:val="center"/>
          </w:tcPr>
          <w:p>
            <w:pPr>
              <w:pStyle w:val="TableContents"/>
              <w:bidi w:val="0"/>
              <w:spacing w:before="0" w:after="283"/>
              <w:jc w:val="both"/>
              <w:rPr/>
            </w:pPr>
            <w:r>
              <w:rPr/>
              <w:t>“</w:t>
            </w:r>
            <w:r>
              <w:rPr/>
              <w:t>shall” shall be construed as imperative and “may” shall be construed as permissive;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pPr>
            <w:r>
              <w:rPr/>
              <w:t>(f)</w:t>
            </w:r>
          </w:p>
        </w:tc>
        <w:tc>
          <w:tcPr>
            <w:tcW w:w="9945" w:type="dxa"/>
            <w:tcBorders/>
            <w:vAlign w:val="center"/>
          </w:tcPr>
          <w:p>
            <w:pPr>
              <w:pStyle w:val="TableContents"/>
              <w:bidi w:val="0"/>
              <w:spacing w:before="0" w:after="283"/>
              <w:jc w:val="both"/>
              <w:rPr/>
            </w:pPr>
            <w:r>
              <w:rPr/>
              <w:t>references to provisions of any law or regulation shall be construed as references to those provisions as amended, modified, re-enacted or replaced;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both"/>
              <w:rPr/>
            </w:pPr>
            <w:r>
              <w:rPr/>
              <w:t>(g)</w:t>
            </w:r>
          </w:p>
        </w:tc>
        <w:tc>
          <w:tcPr>
            <w:tcW w:w="9915" w:type="dxa"/>
            <w:tcBorders/>
            <w:vAlign w:val="center"/>
          </w:tcPr>
          <w:p>
            <w:pPr>
              <w:pStyle w:val="TableContents"/>
              <w:bidi w:val="0"/>
              <w:spacing w:before="0" w:after="283"/>
              <w:jc w:val="both"/>
              <w:rPr/>
            </w:pPr>
            <w:r>
              <w:rPr/>
              <w:t>any phrase introduced by the terms “including”, “include”, “in particular” or any similar expression shall be construed as illustrative and shall not limit the sense of the words preceding those terms;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pPr>
            <w:r>
              <w:rPr/>
              <w:t>(h)</w:t>
            </w:r>
          </w:p>
        </w:tc>
        <w:tc>
          <w:tcPr>
            <w:tcW w:w="9932" w:type="dxa"/>
            <w:tcBorders/>
            <w:vAlign w:val="center"/>
          </w:tcPr>
          <w:p>
            <w:pPr>
              <w:pStyle w:val="TableContents"/>
              <w:bidi w:val="0"/>
              <w:spacing w:before="0" w:after="283"/>
              <w:jc w:val="both"/>
              <w:rPr/>
            </w:pPr>
            <w:r>
              <w:rPr/>
              <w:t>the term “and/or” is used herein to mean both “and” as well as “or.” The use of “and/or” in certain contexts in no respect qualifies or modifies the use of the terms “and” or “or” in others. The term “or” shall not be interpreted to be exclusive and the term “and” shall not be interpreted to require the conjunctive (in each case, unless the context otherwise requires);</w:t>
            </w:r>
          </w:p>
        </w:tc>
      </w:tr>
    </w:tbl>
    <w:p>
      <w:pPr>
        <w:pStyle w:val="TextBody"/>
        <w:bidi w:val="0"/>
        <w:spacing w:before="0" w:after="0"/>
        <w:ind w:left="1080" w:right="0" w:hanging="36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23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(i)</w:t>
            </w:r>
          </w:p>
        </w:tc>
        <w:tc>
          <w:tcPr>
            <w:tcW w:w="8210" w:type="dxa"/>
            <w:tcBorders/>
            <w:vAlign w:val="center"/>
          </w:tcPr>
          <w:p>
            <w:pPr>
              <w:pStyle w:val="TableContents"/>
              <w:bidi w:val="0"/>
              <w:spacing w:before="0" w:after="283"/>
              <w:jc w:val="both"/>
              <w:rPr/>
            </w:pPr>
            <w:r>
              <w:rPr/>
              <w:t>headings are inserted for reference only and shall be ignored in construing the Articles;</w:t>
            </w:r>
          </w:p>
        </w:tc>
      </w:tr>
    </w:tbl>
    <w:p>
      <w:pPr>
        <w:pStyle w:val="TextBody"/>
        <w:bidi w:val="0"/>
        <w:spacing w:before="0" w:after="0"/>
        <w:ind w:left="1080" w:right="0" w:hanging="36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3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(j)</w:t>
            </w:r>
          </w:p>
        </w:tc>
        <w:tc>
          <w:tcPr>
            <w:tcW w:w="9755" w:type="dxa"/>
            <w:tcBorders/>
            <w:vAlign w:val="center"/>
          </w:tcPr>
          <w:p>
            <w:pPr>
              <w:pStyle w:val="TableContents"/>
              <w:bidi w:val="0"/>
              <w:spacing w:before="0" w:after="283"/>
              <w:jc w:val="both"/>
              <w:rPr/>
            </w:pPr>
            <w:r>
              <w:rPr/>
              <w:t>any requirements as to delivery under the Articles include delivery in the form of an Electronic Record;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both"/>
              <w:rPr/>
            </w:pPr>
            <w:r>
              <w:rPr/>
              <w:t>(k)</w:t>
            </w:r>
          </w:p>
        </w:tc>
        <w:tc>
          <w:tcPr>
            <w:tcW w:w="9918" w:type="dxa"/>
            <w:tcBorders/>
            <w:vAlign w:val="center"/>
          </w:tcPr>
          <w:p>
            <w:pPr>
              <w:pStyle w:val="TableContents"/>
              <w:bidi w:val="0"/>
              <w:spacing w:before="0" w:after="283"/>
              <w:jc w:val="both"/>
              <w:rPr/>
            </w:pPr>
            <w:r>
              <w:rPr/>
              <w:t>any requirements as to execution or signature under the Articles including the execution of the Articles themselves can be satisfied in the form of an electronic signature as defined in the Electronic Transactions Act;</w:t>
            </w:r>
          </w:p>
        </w:tc>
      </w:tr>
    </w:tbl>
    <w:p>
      <w:pPr>
        <w:pStyle w:val="TextBody"/>
        <w:bidi w:val="0"/>
        <w:spacing w:before="0" w:after="0"/>
        <w:ind w:left="1080" w:right="0" w:hanging="36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23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(l)</w:t>
            </w:r>
          </w:p>
        </w:tc>
        <w:tc>
          <w:tcPr>
            <w:tcW w:w="6725" w:type="dxa"/>
            <w:tcBorders/>
            <w:vAlign w:val="center"/>
          </w:tcPr>
          <w:p>
            <w:pPr>
              <w:pStyle w:val="TableContents"/>
              <w:bidi w:val="0"/>
              <w:spacing w:before="0" w:after="283"/>
              <w:jc w:val="both"/>
              <w:rPr/>
            </w:pPr>
            <w:r>
              <w:rPr/>
              <w:t>sections 8 and 19(3) of the Electronic Transactions Act shall not apply;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both"/>
              <w:rPr/>
            </w:pPr>
            <w:r>
              <w:rPr/>
              <w:t>(m)</w:t>
            </w:r>
          </w:p>
        </w:tc>
        <w:tc>
          <w:tcPr>
            <w:tcW w:w="9857" w:type="dxa"/>
            <w:tcBorders/>
            <w:vAlign w:val="center"/>
          </w:tcPr>
          <w:p>
            <w:pPr>
              <w:pStyle w:val="TableContents"/>
              <w:bidi w:val="0"/>
              <w:spacing w:before="0" w:after="283"/>
              <w:jc w:val="both"/>
              <w:rPr/>
            </w:pPr>
            <w:r>
              <w:rPr/>
              <w:t>the term “clear days” in relation to the period of a notice means that period excluding the day when the notice is received or deemed to be received and the day for which it is given or on which it is to take effect;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pPr>
            <w:r>
              <w:rPr/>
              <w:t>(n)</w:t>
            </w:r>
          </w:p>
        </w:tc>
        <w:tc>
          <w:tcPr>
            <w:tcW w:w="9886" w:type="dxa"/>
            <w:tcBorders/>
            <w:vAlign w:val="center"/>
          </w:tcPr>
          <w:p>
            <w:pPr>
              <w:pStyle w:val="TableContents"/>
              <w:bidi w:val="0"/>
              <w:spacing w:before="0" w:after="283"/>
              <w:jc w:val="both"/>
              <w:rPr/>
            </w:pPr>
            <w:r>
              <w:rPr/>
              <w:t>a reference to “$”, “US$”, “USD”, or dollar(s) is a reference to the lawful currency of the United States of America;</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pPr>
            <w:r>
              <w:rPr/>
              <w:t>(o)</w:t>
            </w:r>
          </w:p>
        </w:tc>
        <w:tc>
          <w:tcPr>
            <w:tcW w:w="9922" w:type="dxa"/>
            <w:tcBorders/>
            <w:vAlign w:val="center"/>
          </w:tcPr>
          <w:p>
            <w:pPr>
              <w:pStyle w:val="TableContents"/>
              <w:bidi w:val="0"/>
              <w:spacing w:before="0" w:after="283"/>
              <w:jc w:val="both"/>
              <w:rPr/>
            </w:pPr>
            <w:r>
              <w:rPr/>
              <w:t>“</w:t>
            </w:r>
            <w:r>
              <w:rPr/>
              <w:t>directly or indirectly” means, except where the context requires otherwise, directly or indirectly through one or more intermediate Persons or through contractual or other arrangements, and “direct or indirect” has the correlative meaning;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both"/>
              <w:rPr/>
            </w:pPr>
            <w:r>
              <w:rPr/>
              <w:t>(p)</w:t>
            </w:r>
          </w:p>
        </w:tc>
        <w:tc>
          <w:tcPr>
            <w:tcW w:w="9895" w:type="dxa"/>
            <w:tcBorders/>
            <w:vAlign w:val="center"/>
          </w:tcPr>
          <w:p>
            <w:pPr>
              <w:pStyle w:val="TableContents"/>
              <w:bidi w:val="0"/>
              <w:spacing w:before="0" w:after="283"/>
              <w:jc w:val="both"/>
              <w:rPr/>
            </w:pPr>
            <w:r>
              <w:rPr/>
              <w:t>the term “holder” in relation to a Share means a Person whose name is entered in the Register of Members as the holder of such Share.</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491"/>
        <w:gridCol w:w="9582"/>
      </w:tblGrid>
      <w:tr>
        <w:trPr/>
        <w:tc>
          <w:tcPr>
            <w:tcW w:w="13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582" w:type="dxa"/>
            <w:tcBorders/>
            <w:vAlign w:val="center"/>
          </w:tcPr>
          <w:p>
            <w:pPr>
              <w:pStyle w:val="TableContents"/>
              <w:bidi w:val="0"/>
              <w:spacing w:before="0" w:after="283"/>
              <w:jc w:val="both"/>
              <w:rPr/>
            </w:pPr>
            <w:r>
              <w:rPr/>
              <w:t>Commencement of Business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left"/>
              <w:rPr/>
            </w:pPr>
            <w:r>
              <w:rPr/>
              <w:t>The business of the Company may be commenced as soon after incorporation of the Company as the Directors shall see fit.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The Directors may pay, out of the capital or any other monies of the Company, all expenses incurred in or about the formation and establishment of the Company, including the expenses of registration.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402"/>
        <w:gridCol w:w="9695"/>
      </w:tblGrid>
      <w:tr>
        <w:trPr/>
        <w:tc>
          <w:tcPr>
            <w:tcW w:w="10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695" w:type="dxa"/>
            <w:tcBorders/>
            <w:vAlign w:val="center"/>
          </w:tcPr>
          <w:p>
            <w:pPr>
              <w:pStyle w:val="TableContents"/>
              <w:bidi w:val="0"/>
              <w:spacing w:before="0" w:after="283"/>
              <w:jc w:val="left"/>
              <w:rPr/>
            </w:pPr>
            <w:r>
              <w:rPr/>
              <w:t>Issue of Shares and other Securities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conversion of the Class B Shares set out in the Articles. No holder of Ordinary Shares shall have pre-emptive rights.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t>Except as set forth otherwise in Article 17.3, the Directors may provide, out of the unissued shares, for a series of preference shares. Before any preference shares of any such series are issued, the Directors shall fix, by resolution or resolutions, the following provisions of the preference shares thereof, if applicable: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7"/>
        <w:gridCol w:w="235"/>
        <w:gridCol w:w="9863"/>
      </w:tblGrid>
      <w:tr>
        <w:trPr/>
        <w:tc>
          <w:tcPr>
            <w:tcW w:w="107"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(a)</w:t>
            </w:r>
          </w:p>
        </w:tc>
        <w:tc>
          <w:tcPr>
            <w:tcW w:w="9863" w:type="dxa"/>
            <w:tcBorders/>
            <w:vAlign w:val="center"/>
          </w:tcPr>
          <w:p>
            <w:pPr>
              <w:pStyle w:val="TableContents"/>
              <w:bidi w:val="0"/>
              <w:spacing w:before="0" w:after="283"/>
              <w:jc w:val="both"/>
              <w:rPr/>
            </w:pPr>
            <w:r>
              <w:rPr/>
              <w:t>the designation of such series, the number of preference shares to constitute such series and the subscription price thereof if different from the par value thereof;</w:t>
            </w:r>
          </w:p>
        </w:tc>
      </w:tr>
      <w:tr>
        <w:trPr/>
        <w:tc>
          <w:tcPr>
            <w:tcW w:w="107"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pPr>
            <w:r>
              <w:rPr/>
              <w:t> </w:t>
            </w:r>
          </w:p>
        </w:tc>
      </w:tr>
      <w:tr>
        <w:trPr/>
        <w:tc>
          <w:tcPr>
            <w:tcW w:w="107"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863" w:type="dxa"/>
            <w:tcBorders/>
            <w:vAlign w:val="center"/>
          </w:tcPr>
          <w:p>
            <w:pPr>
              <w:pStyle w:val="TableContents"/>
              <w:bidi w:val="0"/>
              <w:spacing w:before="0" w:after="283"/>
              <w:jc w:val="both"/>
              <w:rPr/>
            </w:pPr>
            <w:r>
              <w:rPr/>
              <w:t>whether the shares of such series shall have voting rights, in addition to any voting rights provided by law, and, if so, the terms of such voting rights, which may be general or limited;</w:t>
            </w:r>
          </w:p>
        </w:tc>
      </w:tr>
      <w:tr>
        <w:trPr/>
        <w:tc>
          <w:tcPr>
            <w:tcW w:w="107"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pPr>
            <w:r>
              <w:rPr/>
              <w:t> </w:t>
            </w:r>
          </w:p>
        </w:tc>
      </w:tr>
      <w:tr>
        <w:trPr/>
        <w:tc>
          <w:tcPr>
            <w:tcW w:w="107"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(c)</w:t>
            </w:r>
          </w:p>
        </w:tc>
        <w:tc>
          <w:tcPr>
            <w:tcW w:w="9863" w:type="dxa"/>
            <w:tcBorders/>
            <w:vAlign w:val="center"/>
          </w:tcPr>
          <w:p>
            <w:pPr>
              <w:pStyle w:val="TableContents"/>
              <w:bidi w:val="0"/>
              <w:spacing w:before="0" w:after="283"/>
              <w:jc w:val="both"/>
              <w:rPr/>
            </w:pPr>
            <w:r>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preference shares;</w:t>
            </w:r>
          </w:p>
        </w:tc>
      </w:tr>
      <w:tr>
        <w:trPr/>
        <w:tc>
          <w:tcPr>
            <w:tcW w:w="107"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pPr>
            <w:r>
              <w:rPr/>
              <w:t> </w:t>
            </w:r>
          </w:p>
        </w:tc>
      </w:tr>
      <w:tr>
        <w:trPr/>
        <w:tc>
          <w:tcPr>
            <w:tcW w:w="107"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(d)</w:t>
            </w:r>
          </w:p>
        </w:tc>
        <w:tc>
          <w:tcPr>
            <w:tcW w:w="9863" w:type="dxa"/>
            <w:tcBorders/>
            <w:vAlign w:val="center"/>
          </w:tcPr>
          <w:p>
            <w:pPr>
              <w:pStyle w:val="TableContents"/>
              <w:bidi w:val="0"/>
              <w:spacing w:before="0" w:after="283"/>
              <w:jc w:val="both"/>
              <w:rPr/>
            </w:pPr>
            <w:r>
              <w:rPr/>
              <w:t>whether the preference shares of such series shall be subject to redemption by the Company, and, if so, the times, prices and other conditions of such redemption;</w:t>
            </w:r>
          </w:p>
        </w:tc>
      </w:tr>
      <w:tr>
        <w:trPr/>
        <w:tc>
          <w:tcPr>
            <w:tcW w:w="107"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pPr>
            <w:r>
              <w:rPr/>
              <w:t> </w:t>
            </w:r>
          </w:p>
        </w:tc>
      </w:tr>
      <w:tr>
        <w:trPr/>
        <w:tc>
          <w:tcPr>
            <w:tcW w:w="107"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(e)</w:t>
            </w:r>
          </w:p>
        </w:tc>
        <w:tc>
          <w:tcPr>
            <w:tcW w:w="9863" w:type="dxa"/>
            <w:tcBorders/>
            <w:vAlign w:val="center"/>
          </w:tcPr>
          <w:p>
            <w:pPr>
              <w:pStyle w:val="TableContents"/>
              <w:bidi w:val="0"/>
              <w:spacing w:before="0" w:after="283"/>
              <w:jc w:val="both"/>
              <w:rPr/>
            </w:pPr>
            <w:r>
              <w:rPr/>
              <w:t>the amount or amounts payable upon preference shares of such series upon, and the rights of the holders of such series in, a voluntary or involuntary liquidation, dissolution or winding up, or upon any distribution of the assets, of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(f)</w:t>
            </w:r>
          </w:p>
        </w:tc>
        <w:tc>
          <w:tcPr>
            <w:tcW w:w="9897" w:type="dxa"/>
            <w:tcBorders/>
            <w:vAlign w:val="center"/>
          </w:tcPr>
          <w:p>
            <w:pPr>
              <w:pStyle w:val="TableContents"/>
              <w:bidi w:val="0"/>
              <w:spacing w:before="0" w:after="283"/>
              <w:jc w:val="both"/>
              <w:rPr/>
            </w:pPr>
            <w:r>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thereof;</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(g)</w:t>
            </w:r>
          </w:p>
        </w:tc>
        <w:tc>
          <w:tcPr>
            <w:tcW w:w="9897" w:type="dxa"/>
            <w:tcBorders/>
            <w:vAlign w:val="center"/>
          </w:tcPr>
          <w:p>
            <w:pPr>
              <w:pStyle w:val="TableContents"/>
              <w:bidi w:val="0"/>
              <w:spacing w:before="0" w:after="283"/>
              <w:jc w:val="both"/>
              <w:rPr/>
            </w:pPr>
            <w:r>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(h)</w:t>
            </w:r>
          </w:p>
        </w:tc>
        <w:tc>
          <w:tcPr>
            <w:tcW w:w="9897" w:type="dxa"/>
            <w:tcBorders/>
            <w:vAlign w:val="center"/>
          </w:tcPr>
          <w:p>
            <w:pPr>
              <w:pStyle w:val="TableContents"/>
              <w:bidi w:val="0"/>
              <w:spacing w:before="0" w:after="283"/>
              <w:jc w:val="both"/>
              <w:rPr/>
            </w:pPr>
            <w:r>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of shares or any other series of preference shares;</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(i)</w:t>
            </w:r>
          </w:p>
        </w:tc>
        <w:tc>
          <w:tcPr>
            <w:tcW w:w="9897" w:type="dxa"/>
            <w:tcBorders/>
            <w:vAlign w:val="center"/>
          </w:tcPr>
          <w:p>
            <w:pPr>
              <w:pStyle w:val="TableContents"/>
              <w:bidi w:val="0"/>
              <w:spacing w:before="0" w:after="283"/>
              <w:jc w:val="both"/>
              <w:rPr/>
            </w:pPr>
            <w:r>
              <w:rPr/>
              <w:t>the conditions or restrictions, if any, upon the creation of indebtedness of the Company or upon the issue of any additional shares, including additional shares of such series or of any other class of shares or any other series of preference shares; and</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(j)</w:t>
            </w:r>
          </w:p>
        </w:tc>
        <w:tc>
          <w:tcPr>
            <w:tcW w:w="9897" w:type="dxa"/>
            <w:tcBorders/>
            <w:vAlign w:val="center"/>
          </w:tcPr>
          <w:p>
            <w:pPr>
              <w:pStyle w:val="TableContents"/>
              <w:bidi w:val="0"/>
              <w:spacing w:before="0" w:after="283"/>
              <w:jc w:val="both"/>
              <w:rPr/>
            </w:pPr>
            <w:r>
              <w:rPr/>
              <w:t>any other powers, preferences and relative, participating, optional and other special rights, and any qualifications, limitations and restrictions thereof.</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and subject to Articles 17.3 and 23.1, the voting powers of any series of preference shares may include the right, in the circumstances specified in the resolution or resolutions providing for the issuance of such preference shares, to elect one or more Directors who shall serve for such term and have such voting powers as shall be stated in the resolution or resolutions providing for the issuance of such preference shares. The term of office and voting powers of any Director elected in the manner provided in the immediately preceding sentence of this Article 3.3 may be greater than or less than those of any other Director.</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84"/>
        <w:gridCol w:w="9440"/>
      </w:tblGrid>
      <w:tr>
        <w:trPr/>
        <w:tc>
          <w:tcPr>
            <w:tcW w:w="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3.5</w:t>
            </w:r>
          </w:p>
        </w:tc>
        <w:tc>
          <w:tcPr>
            <w:tcW w:w="9440" w:type="dxa"/>
            <w:tcBorders/>
            <w:vAlign w:val="center"/>
          </w:tcPr>
          <w:p>
            <w:pPr>
              <w:pStyle w:val="TableContents"/>
              <w:bidi w:val="0"/>
              <w:spacing w:before="0" w:after="283"/>
              <w:jc w:val="left"/>
              <w:rPr/>
            </w:pPr>
            <w:r>
              <w:rPr/>
              <w:t>The Company shall not issue Shares to bearer.</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652"/>
        <w:gridCol w:w="9377"/>
      </w:tblGrid>
      <w:tr>
        <w:trPr/>
        <w:tc>
          <w:tcPr>
            <w:tcW w:w="17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377" w:type="dxa"/>
            <w:tcBorders/>
            <w:vAlign w:val="center"/>
          </w:tcPr>
          <w:p>
            <w:pPr>
              <w:pStyle w:val="TableContents"/>
              <w:bidi w:val="0"/>
              <w:spacing w:before="0" w:after="283"/>
              <w:jc w:val="left"/>
              <w:rPr/>
            </w:pPr>
            <w:r>
              <w:rPr/>
              <w:t>Register of Members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The Company shall maintain or cause to be maintained the Register of Members in accordance with the Statute.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6"/>
        <w:gridCol w:w="9855"/>
      </w:tblGrid>
      <w:tr>
        <w:trPr/>
        <w:tc>
          <w:tcPr>
            <w:tcW w:w="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55" w:type="dxa"/>
            <w:tcBorders/>
            <w:vAlign w:val="center"/>
          </w:tcPr>
          <w:p>
            <w:pPr>
              <w:pStyle w:val="TableContents"/>
              <w:bidi w:val="0"/>
              <w:spacing w:before="0" w:after="283"/>
              <w:jc w:val="left"/>
              <w:rPr/>
            </w:pPr>
            <w:r>
              <w:rPr/>
              <w:t>Closing Register of Members or Fixing Record Date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8" w:type="dxa"/>
            <w:tcBorders/>
            <w:vAlign w:val="center"/>
          </w:tcPr>
          <w:p>
            <w:pPr>
              <w:pStyle w:val="TableContents"/>
              <w:bidi w:val="0"/>
              <w:spacing w:before="0" w:after="283"/>
              <w:jc w:val="both"/>
              <w:rPr/>
            </w:pPr>
            <w:r>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622"/>
        <w:gridCol w:w="9415"/>
      </w:tblGrid>
      <w:tr>
        <w:trPr/>
        <w:tc>
          <w:tcPr>
            <w:tcW w:w="16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415" w:type="dxa"/>
            <w:tcBorders/>
            <w:vAlign w:val="center"/>
          </w:tcPr>
          <w:p>
            <w:pPr>
              <w:pStyle w:val="TableContents"/>
              <w:bidi w:val="0"/>
              <w:spacing w:before="0" w:after="283"/>
              <w:jc w:val="left"/>
              <w:rPr/>
            </w:pPr>
            <w:r>
              <w:rPr/>
              <w:t>Certificates for Shares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share certificates shall bear legends required under the Applicable Laws, including the Securities Act. All certificates surrendered to the Company for transfer shall be cancelled and, subject to the Articles, no new certificate shall be issued until the former certificate representing a like number of relevant Shares shall have been surrendered and cancelled.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The Company shall not be bound to issue more than one certificate for Shares held jointly by more than one Person and delivery of a certificate to one joint holder shall be a sufficient delivery to all of them.</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6.4</w:t>
            </w:r>
          </w:p>
        </w:tc>
        <w:tc>
          <w:tcPr>
            <w:tcW w:w="9848" w:type="dxa"/>
            <w:tcBorders/>
            <w:vAlign w:val="center"/>
          </w:tcPr>
          <w:p>
            <w:pPr>
              <w:pStyle w:val="TableContents"/>
              <w:bidi w:val="0"/>
              <w:spacing w:before="0" w:after="283"/>
              <w:jc w:val="both"/>
              <w:rPr/>
            </w:pPr>
            <w:r>
              <w:rPr/>
              <w:t>Every share certificate sent in accordance with the Articles will be sent at the risk of the Member or other Person entitled to the certificate. The Company will not be responsible for any share certificate lost or delayed in the course of delivery.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6.5</w:t>
            </w:r>
          </w:p>
        </w:tc>
        <w:tc>
          <w:tcPr>
            <w:tcW w:w="9848" w:type="dxa"/>
            <w:tcBorders/>
            <w:vAlign w:val="center"/>
          </w:tcPr>
          <w:p>
            <w:pPr>
              <w:pStyle w:val="TableContents"/>
              <w:bidi w:val="0"/>
              <w:spacing w:before="0" w:after="283"/>
              <w:jc w:val="both"/>
              <w:rPr/>
            </w:pPr>
            <w:r>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731"/>
        <w:gridCol w:w="9276"/>
      </w:tblGrid>
      <w:tr>
        <w:trPr/>
        <w:tc>
          <w:tcPr>
            <w:tcW w:w="19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276" w:type="dxa"/>
            <w:tcBorders/>
            <w:vAlign w:val="center"/>
          </w:tcPr>
          <w:p>
            <w:pPr>
              <w:pStyle w:val="TableContents"/>
              <w:bidi w:val="0"/>
              <w:spacing w:before="0" w:after="283"/>
              <w:jc w:val="left"/>
              <w:rPr/>
            </w:pPr>
            <w:r>
              <w:rPr/>
              <w:t>Transfer of Shares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Subject to the terms of the Articles and the lock-up restrictions under Section 6.17 of the Merger Agreement,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pPr>
            <w:r>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89"/>
        <w:gridCol w:w="9838"/>
      </w:tblGrid>
      <w:tr>
        <w:trPr/>
        <w:tc>
          <w:tcPr>
            <w:tcW w:w="7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838" w:type="dxa"/>
            <w:tcBorders/>
            <w:vAlign w:val="center"/>
          </w:tcPr>
          <w:p>
            <w:pPr>
              <w:pStyle w:val="TableContents"/>
              <w:bidi w:val="0"/>
              <w:spacing w:before="0" w:after="283"/>
              <w:jc w:val="left"/>
              <w:rPr/>
            </w:pPr>
            <w:r>
              <w:rPr/>
              <w:t>Redemption, Repurchase and Surrender of Shares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8" w:type="dxa"/>
            <w:tcBorders/>
            <w:vAlign w:val="center"/>
          </w:tcPr>
          <w:p>
            <w:pPr>
              <w:pStyle w:val="TableContents"/>
              <w:bidi w:val="0"/>
              <w:spacing w:before="0" w:after="283"/>
              <w:jc w:val="both"/>
              <w:rPr/>
            </w:pPr>
            <w:r>
              <w:rPr/>
              <w:t>The Company may make a payment in respect of the redemption or purchase of its own Shares in any manner permitted by the Statute, including out of capital.</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91"/>
        <w:gridCol w:w="9768"/>
      </w:tblGrid>
      <w:tr>
        <w:trPr/>
        <w:tc>
          <w:tcPr>
            <w:tcW w:w="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8.4</w:t>
            </w:r>
          </w:p>
        </w:tc>
        <w:tc>
          <w:tcPr>
            <w:tcW w:w="9768" w:type="dxa"/>
            <w:tcBorders/>
            <w:vAlign w:val="center"/>
          </w:tcPr>
          <w:p>
            <w:pPr>
              <w:pStyle w:val="TableContents"/>
              <w:bidi w:val="0"/>
              <w:spacing w:before="0" w:after="283"/>
              <w:jc w:val="left"/>
              <w:rPr/>
            </w:pPr>
            <w:r>
              <w:rPr/>
              <w:t>The Directors may accept the surrender for no consideration of any fully paid Share.</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819"/>
        <w:gridCol w:w="9164"/>
      </w:tblGrid>
      <w:tr>
        <w:trPr/>
        <w:tc>
          <w:tcPr>
            <w:tcW w:w="22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9164" w:type="dxa"/>
            <w:tcBorders/>
            <w:vAlign w:val="center"/>
          </w:tcPr>
          <w:p>
            <w:pPr>
              <w:pStyle w:val="TableContents"/>
              <w:bidi w:val="0"/>
              <w:spacing w:before="0" w:after="283"/>
              <w:jc w:val="left"/>
              <w:rPr/>
            </w:pPr>
            <w:r>
              <w:rPr/>
              <w:t>Treasury Shares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The Directors may, prior to the purchase, redemption or surrender of any Share, determine that such Share shall be held as a Treasury Share.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The Directors may determine to cancel a Treasury Share or transfer a Treasury Share on such terms as they think proper (including, without limitation, for nil consideration).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858"/>
        <w:gridCol w:w="9222"/>
      </w:tblGrid>
      <w:tr>
        <w:trPr/>
        <w:tc>
          <w:tcPr>
            <w:tcW w:w="12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222" w:type="dxa"/>
            <w:tcBorders/>
            <w:vAlign w:val="center"/>
          </w:tcPr>
          <w:p>
            <w:pPr>
              <w:pStyle w:val="TableContents"/>
              <w:bidi w:val="0"/>
              <w:spacing w:before="0" w:after="283"/>
              <w:jc w:val="left"/>
              <w:rPr/>
            </w:pPr>
            <w:r>
              <w:rPr/>
              <w:t>Variation of Rights of Shares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 xml:space="preserve">Subject to Articles 3.1 and 17.3,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i/>
              </w:rPr>
              <w:t>mutatis mutandis</w:t>
            </w:r>
            <w:r>
              <w:rPr/>
              <w:t>, except that the necessary quorum shall be one Person holding or representing by proxy at least one third of the issued Shares of the class and that any holder of Shares of the class present in Person or by proxy may demand a poll.</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8" w:type="dxa"/>
            <w:tcBorders/>
            <w:vAlign w:val="center"/>
          </w:tcPr>
          <w:p>
            <w:pPr>
              <w:pStyle w:val="TableContents"/>
              <w:bidi w:val="0"/>
              <w:spacing w:before="0" w:after="283"/>
              <w:jc w:val="both"/>
              <w:rPr/>
            </w:pPr>
            <w:r>
              <w:rPr/>
              <w:t>The provisions of these Articles relating to general meetings shall apply to every such general meeting of the holders of one class or series of shares, except the following:</w:t>
            </w:r>
          </w:p>
        </w:tc>
      </w:tr>
    </w:tbl>
    <w:p>
      <w:pPr>
        <w:pStyle w:val="TextBody"/>
        <w:bidi w:val="0"/>
        <w:spacing w:before="0" w:after="0"/>
        <w:ind w:left="1166" w:right="0" w:hanging="446"/>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75"/>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675" w:type="dxa"/>
            <w:tcBorders/>
            <w:vAlign w:val="center"/>
          </w:tcPr>
          <w:p>
            <w:pPr>
              <w:pStyle w:val="TableContents"/>
              <w:bidi w:val="0"/>
              <w:spacing w:before="0" w:after="283"/>
              <w:jc w:val="left"/>
              <w:rPr/>
            </w:pPr>
            <w:r>
              <w:rPr/>
              <w:t>separate general meetings of the holders of a class or series of shares may be called only by:</w:t>
            </w:r>
          </w:p>
        </w:tc>
      </w:tr>
    </w:tbl>
    <w:p>
      <w:pPr>
        <w:pStyle w:val="TextBody"/>
        <w:bidi w:val="0"/>
        <w:spacing w:before="0" w:after="0"/>
        <w:ind w:left="2160" w:right="0" w:hanging="720"/>
        <w:jc w:val="left"/>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23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435" w:type="dxa"/>
            <w:tcBorders/>
            <w:vAlign w:val="center"/>
          </w:tcPr>
          <w:p>
            <w:pPr>
              <w:pStyle w:val="TableContents"/>
              <w:bidi w:val="0"/>
              <w:spacing w:before="0" w:after="283"/>
              <w:jc w:val="left"/>
              <w:rPr/>
            </w:pPr>
            <w:r>
              <w:rPr/>
              <w:t>the Chairman, if any; and</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(ii)</w:t>
            </w:r>
          </w:p>
        </w:tc>
        <w:tc>
          <w:tcPr>
            <w:tcW w:w="9893" w:type="dxa"/>
            <w:tcBorders/>
            <w:vAlign w:val="center"/>
          </w:tcPr>
          <w:p>
            <w:pPr>
              <w:pStyle w:val="TableContents"/>
              <w:bidi w:val="0"/>
              <w:spacing w:before="0" w:after="283"/>
              <w:jc w:val="left"/>
              <w:rPr/>
            </w:pPr>
            <w:r>
              <w:rPr/>
              <w:t>a majority of all of the Directors (unless otherwise specifically provided by the terms of issue of the shares of such class or series),</w:t>
            </w:r>
          </w:p>
        </w:tc>
      </w:tr>
    </w:tbl>
    <w:p>
      <w:pPr>
        <w:pStyle w:val="TextBody"/>
        <w:bidi w:val="0"/>
        <w:spacing w:before="0" w:after="0"/>
        <w:ind w:left="1170" w:right="0" w:hanging="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except as set forth in clause (a) above, nothing in this Article 10 shall be deemed to give any Member the right to call a class or series meeting; and</w:t>
            </w:r>
          </w:p>
        </w:tc>
      </w:tr>
    </w:tbl>
    <w:p>
      <w:pPr>
        <w:pStyle w:val="TextBody"/>
        <w:bidi w:val="0"/>
        <w:spacing w:before="0" w:after="0"/>
        <w:ind w:left="1170" w:right="0" w:hanging="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the necessary quorum shall be one or more Persons holding or representing by proxy at least one-third of the issued shares of the class or series and that any holder of shares of the class or series present in person or by proxy may demand a poll.</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i/>
              </w:rPr>
              <w:t>pari passu</w:t>
            </w:r>
            <w:r>
              <w:rPr/>
              <w:t xml:space="preserve"> therewith or Shares issued with preferred or other rights.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821"/>
        <w:gridCol w:w="9264"/>
      </w:tblGrid>
      <w:tr>
        <w:trPr/>
        <w:tc>
          <w:tcPr>
            <w:tcW w:w="12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264" w:type="dxa"/>
            <w:tcBorders/>
            <w:vAlign w:val="center"/>
          </w:tcPr>
          <w:p>
            <w:pPr>
              <w:pStyle w:val="TableContents"/>
              <w:bidi w:val="0"/>
              <w:spacing w:before="0" w:after="283"/>
              <w:jc w:val="left"/>
              <w:rPr/>
            </w:pPr>
            <w:r>
              <w:rPr/>
              <w:t>Commission on Sale of Shares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25"/>
        <w:gridCol w:w="9145"/>
      </w:tblGrid>
      <w:tr>
        <w:trPr/>
        <w:tc>
          <w:tcPr>
            <w:tcW w:w="13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9145" w:type="dxa"/>
            <w:tcBorders/>
            <w:vAlign w:val="center"/>
          </w:tcPr>
          <w:p>
            <w:pPr>
              <w:pStyle w:val="TableContents"/>
              <w:bidi w:val="0"/>
              <w:spacing w:before="0" w:after="283"/>
              <w:jc w:val="left"/>
              <w:rPr/>
            </w:pPr>
            <w:r>
              <w:rPr/>
              <w:t>Non Recognition of Trusts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upon any trust (other than any trust recognized as a Permitted Entity or Permitted Transferee). 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0"/>
        <w:gridCol w:w="1509"/>
        <w:gridCol w:w="8476"/>
      </w:tblGrid>
      <w:tr>
        <w:trPr/>
        <w:tc>
          <w:tcPr>
            <w:tcW w:w="22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8476" w:type="dxa"/>
            <w:tcBorders/>
            <w:vAlign w:val="center"/>
          </w:tcPr>
          <w:p>
            <w:pPr>
              <w:pStyle w:val="TableContents"/>
              <w:bidi w:val="0"/>
              <w:spacing w:before="0" w:after="283"/>
              <w:jc w:val="left"/>
              <w:rPr/>
            </w:pPr>
            <w:r>
              <w:rPr/>
              <w:t>Lien on Shares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8" w:type="dxa"/>
            <w:tcBorders/>
            <w:vAlign w:val="center"/>
          </w:tcPr>
          <w:p>
            <w:pPr>
              <w:pStyle w:val="TableContents"/>
              <w:bidi w:val="0"/>
              <w:spacing w:before="0" w:after="283"/>
              <w:jc w:val="both"/>
              <w:rPr/>
            </w:pPr>
            <w:r>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13.4</w:t>
            </w:r>
          </w:p>
        </w:tc>
        <w:tc>
          <w:tcPr>
            <w:tcW w:w="9728" w:type="dxa"/>
            <w:tcBorders/>
            <w:vAlign w:val="center"/>
          </w:tcPr>
          <w:p>
            <w:pPr>
              <w:pStyle w:val="TableContents"/>
              <w:bidi w:val="0"/>
              <w:spacing w:before="0" w:after="283"/>
              <w:jc w:val="both"/>
              <w:rPr/>
            </w:pPr>
            <w:r>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549"/>
        <w:gridCol w:w="8430"/>
      </w:tblGrid>
      <w:tr>
        <w:trPr/>
        <w:tc>
          <w:tcPr>
            <w:tcW w:w="22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8430" w:type="dxa"/>
            <w:tcBorders/>
            <w:vAlign w:val="center"/>
          </w:tcPr>
          <w:p>
            <w:pPr>
              <w:pStyle w:val="TableContents"/>
              <w:bidi w:val="0"/>
              <w:spacing w:before="0" w:after="283"/>
              <w:jc w:val="left"/>
              <w:rPr/>
            </w:pPr>
            <w:r>
              <w:rPr/>
              <w:t>Call on Shares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pPr>
            <w:r>
              <w:rPr/>
              <w:t>A call shall be deemed to have been made at the time when the resolution of the Directors authorising such call was passed.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67"/>
        <w:gridCol w:w="9698"/>
      </w:tblGrid>
      <w:tr>
        <w:trPr/>
        <w:tc>
          <w:tcPr>
            <w:tcW w:w="4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both"/>
              <w:rPr/>
            </w:pPr>
            <w:r>
              <w:rPr/>
              <w:t>14.3</w:t>
            </w:r>
          </w:p>
        </w:tc>
        <w:tc>
          <w:tcPr>
            <w:tcW w:w="9698" w:type="dxa"/>
            <w:tcBorders/>
            <w:vAlign w:val="center"/>
          </w:tcPr>
          <w:p>
            <w:pPr>
              <w:pStyle w:val="TableContents"/>
              <w:bidi w:val="0"/>
              <w:spacing w:before="0" w:after="283"/>
              <w:jc w:val="both"/>
              <w:rPr/>
            </w:pPr>
            <w:r>
              <w:rPr/>
              <w:t>The joint holders of a Share shall be jointly and severally liable to pay all calls in respect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14.4</w:t>
            </w:r>
          </w:p>
        </w:tc>
        <w:tc>
          <w:tcPr>
            <w:tcW w:w="9728" w:type="dxa"/>
            <w:tcBorders/>
            <w:vAlign w:val="center"/>
          </w:tcPr>
          <w:p>
            <w:pPr>
              <w:pStyle w:val="TableContents"/>
              <w:bidi w:val="0"/>
              <w:spacing w:before="0" w:after="283"/>
              <w:jc w:val="both"/>
              <w:rPr/>
            </w:pPr>
            <w:r>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14.5</w:t>
            </w:r>
          </w:p>
        </w:tc>
        <w:tc>
          <w:tcPr>
            <w:tcW w:w="9728" w:type="dxa"/>
            <w:tcBorders/>
            <w:vAlign w:val="center"/>
          </w:tcPr>
          <w:p>
            <w:pPr>
              <w:pStyle w:val="TableContents"/>
              <w:bidi w:val="0"/>
              <w:spacing w:before="0" w:after="283"/>
              <w:jc w:val="both"/>
              <w:rPr/>
            </w:pPr>
            <w:r>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14.6</w:t>
            </w:r>
          </w:p>
        </w:tc>
        <w:tc>
          <w:tcPr>
            <w:tcW w:w="9728" w:type="dxa"/>
            <w:tcBorders/>
            <w:vAlign w:val="center"/>
          </w:tcPr>
          <w:p>
            <w:pPr>
              <w:pStyle w:val="TableContents"/>
              <w:bidi w:val="0"/>
              <w:spacing w:before="0" w:after="283"/>
              <w:jc w:val="both"/>
              <w:rPr/>
            </w:pPr>
            <w:r>
              <w:rPr/>
              <w:t>The Directors may issue Shares with different terms as to the amount and times of payment of calls, or the interest to be paid.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14.7</w:t>
            </w:r>
          </w:p>
        </w:tc>
        <w:tc>
          <w:tcPr>
            <w:tcW w:w="9728" w:type="dxa"/>
            <w:tcBorders/>
            <w:vAlign w:val="center"/>
          </w:tcPr>
          <w:p>
            <w:pPr>
              <w:pStyle w:val="TableContents"/>
              <w:bidi w:val="0"/>
              <w:spacing w:before="0" w:after="283"/>
              <w:jc w:val="both"/>
              <w:rPr/>
            </w:pPr>
            <w:r>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14.8</w:t>
            </w:r>
          </w:p>
        </w:tc>
        <w:tc>
          <w:tcPr>
            <w:tcW w:w="9728" w:type="dxa"/>
            <w:tcBorders/>
            <w:vAlign w:val="center"/>
          </w:tcPr>
          <w:p>
            <w:pPr>
              <w:pStyle w:val="TableContents"/>
              <w:bidi w:val="0"/>
              <w:spacing w:before="0" w:after="283"/>
              <w:jc w:val="both"/>
              <w:rPr/>
            </w:pPr>
            <w:r>
              <w:rPr/>
              <w:t>No such amount paid in advance of calls shall entitle the Member paying such amount to any portion of a Dividend or other distribution payable in respect of any period prior to the date upon which such amount would, but for such payment, become payable.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1202"/>
        <w:gridCol w:w="8828"/>
      </w:tblGrid>
      <w:tr>
        <w:trPr/>
        <w:tc>
          <w:tcPr>
            <w:tcW w:w="17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w:t>
            </w:r>
          </w:p>
        </w:tc>
        <w:tc>
          <w:tcPr>
            <w:tcW w:w="8828" w:type="dxa"/>
            <w:tcBorders/>
            <w:vAlign w:val="center"/>
          </w:tcPr>
          <w:p>
            <w:pPr>
              <w:pStyle w:val="TableContents"/>
              <w:bidi w:val="0"/>
              <w:spacing w:before="0" w:after="283"/>
              <w:jc w:val="both"/>
              <w:rPr/>
            </w:pPr>
            <w:r>
              <w:rPr/>
              <w:t>Forfeiture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15.1</w:t>
            </w:r>
          </w:p>
        </w:tc>
        <w:tc>
          <w:tcPr>
            <w:tcW w:w="9728" w:type="dxa"/>
            <w:tcBorders/>
            <w:vAlign w:val="center"/>
          </w:tcPr>
          <w:p>
            <w:pPr>
              <w:pStyle w:val="TableContents"/>
              <w:bidi w:val="0"/>
              <w:spacing w:before="0" w:after="283"/>
              <w:jc w:val="both"/>
              <w:rPr/>
            </w:pPr>
            <w:r>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15.2</w:t>
            </w:r>
          </w:p>
        </w:tc>
        <w:tc>
          <w:tcPr>
            <w:tcW w:w="9728" w:type="dxa"/>
            <w:tcBorders/>
            <w:vAlign w:val="center"/>
          </w:tcPr>
          <w:p>
            <w:pPr>
              <w:pStyle w:val="TableContents"/>
              <w:bidi w:val="0"/>
              <w:spacing w:before="0" w:after="283"/>
              <w:jc w:val="both"/>
              <w:rPr/>
            </w:pPr>
            <w:r>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15.3</w:t>
            </w:r>
          </w:p>
        </w:tc>
        <w:tc>
          <w:tcPr>
            <w:tcW w:w="9728" w:type="dxa"/>
            <w:tcBorders/>
            <w:vAlign w:val="center"/>
          </w:tcPr>
          <w:p>
            <w:pPr>
              <w:pStyle w:val="TableContents"/>
              <w:bidi w:val="0"/>
              <w:spacing w:before="0" w:after="283"/>
              <w:jc w:val="both"/>
              <w:rPr/>
            </w:pPr>
            <w:r>
              <w:rPr/>
              <w:t>A forfeited Share (other than a Class B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15.4</w:t>
            </w:r>
          </w:p>
        </w:tc>
        <w:tc>
          <w:tcPr>
            <w:tcW w:w="9728" w:type="dxa"/>
            <w:tcBorders/>
            <w:vAlign w:val="center"/>
          </w:tcPr>
          <w:p>
            <w:pPr>
              <w:pStyle w:val="TableContents"/>
              <w:bidi w:val="0"/>
              <w:spacing w:before="0" w:after="283"/>
              <w:jc w:val="both"/>
              <w:rPr/>
            </w:pPr>
            <w:r>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15.5</w:t>
            </w:r>
          </w:p>
        </w:tc>
        <w:tc>
          <w:tcPr>
            <w:tcW w:w="9728" w:type="dxa"/>
            <w:tcBorders/>
            <w:vAlign w:val="center"/>
          </w:tcPr>
          <w:p>
            <w:pPr>
              <w:pStyle w:val="TableContents"/>
              <w:bidi w:val="0"/>
              <w:spacing w:before="0" w:after="283"/>
              <w:jc w:val="both"/>
              <w:rPr/>
            </w:pPr>
            <w:r>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15.6</w:t>
            </w:r>
          </w:p>
        </w:tc>
        <w:tc>
          <w:tcPr>
            <w:tcW w:w="9728" w:type="dxa"/>
            <w:tcBorders/>
            <w:vAlign w:val="center"/>
          </w:tcPr>
          <w:p>
            <w:pPr>
              <w:pStyle w:val="TableContents"/>
              <w:bidi w:val="0"/>
              <w:spacing w:before="0" w:after="283"/>
              <w:jc w:val="both"/>
              <w:rPr/>
            </w:pPr>
            <w:r>
              <w:rPr/>
              <w:t>The provisions of the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046"/>
        <w:gridCol w:w="9007"/>
      </w:tblGrid>
      <w:tr>
        <w:trPr/>
        <w:tc>
          <w:tcPr>
            <w:tcW w:w="15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16</w:t>
            </w:r>
          </w:p>
        </w:tc>
        <w:tc>
          <w:tcPr>
            <w:tcW w:w="9007" w:type="dxa"/>
            <w:tcBorders/>
            <w:vAlign w:val="center"/>
          </w:tcPr>
          <w:p>
            <w:pPr>
              <w:pStyle w:val="TableContents"/>
              <w:bidi w:val="0"/>
              <w:spacing w:before="0" w:after="283"/>
              <w:jc w:val="both"/>
              <w:rPr/>
            </w:pPr>
            <w:r>
              <w:rPr/>
              <w:t>Transmission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16.1</w:t>
            </w:r>
          </w:p>
        </w:tc>
        <w:tc>
          <w:tcPr>
            <w:tcW w:w="9728" w:type="dxa"/>
            <w:tcBorders/>
            <w:vAlign w:val="center"/>
          </w:tcPr>
          <w:p>
            <w:pPr>
              <w:pStyle w:val="TableContents"/>
              <w:bidi w:val="0"/>
              <w:spacing w:before="0" w:after="283"/>
              <w:jc w:val="both"/>
              <w:rPr/>
            </w:pPr>
            <w:r>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16.2</w:t>
            </w:r>
          </w:p>
        </w:tc>
        <w:tc>
          <w:tcPr>
            <w:tcW w:w="9728" w:type="dxa"/>
            <w:tcBorders/>
            <w:vAlign w:val="center"/>
          </w:tcPr>
          <w:p>
            <w:pPr>
              <w:pStyle w:val="TableContents"/>
              <w:bidi w:val="0"/>
              <w:spacing w:before="0" w:after="283"/>
              <w:jc w:val="both"/>
              <w:rPr/>
            </w:pPr>
            <w:r>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16.3</w:t>
            </w:r>
          </w:p>
        </w:tc>
        <w:tc>
          <w:tcPr>
            <w:tcW w:w="9728" w:type="dxa"/>
            <w:tcBorders/>
            <w:vAlign w:val="center"/>
          </w:tcPr>
          <w:p>
            <w:pPr>
              <w:pStyle w:val="TableContents"/>
              <w:bidi w:val="0"/>
              <w:spacing w:before="0" w:after="283"/>
              <w:jc w:val="both"/>
              <w:rPr/>
            </w:pPr>
            <w:r>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495"/>
        <w:gridCol w:w="9638"/>
      </w:tblGrid>
      <w:tr>
        <w:trPr/>
        <w:tc>
          <w:tcPr>
            <w:tcW w:w="7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17</w:t>
            </w:r>
          </w:p>
        </w:tc>
        <w:tc>
          <w:tcPr>
            <w:tcW w:w="9638" w:type="dxa"/>
            <w:tcBorders/>
            <w:vAlign w:val="center"/>
          </w:tcPr>
          <w:p>
            <w:pPr>
              <w:pStyle w:val="TableContents"/>
              <w:bidi w:val="0"/>
              <w:spacing w:before="0" w:after="283"/>
              <w:jc w:val="both"/>
              <w:rPr/>
            </w:pPr>
            <w:r>
              <w:rPr/>
              <w:t>Rights and Restrictions Attaching to Ordinary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17.1</w:t>
            </w:r>
          </w:p>
        </w:tc>
        <w:tc>
          <w:tcPr>
            <w:tcW w:w="9728" w:type="dxa"/>
            <w:tcBorders/>
            <w:vAlign w:val="center"/>
          </w:tcPr>
          <w:p>
            <w:pPr>
              <w:pStyle w:val="TableContents"/>
              <w:bidi w:val="0"/>
              <w:spacing w:before="0" w:after="283"/>
              <w:jc w:val="both"/>
              <w:rPr/>
            </w:pPr>
            <w:r>
              <w:rPr/>
              <w:t xml:space="preserve">Except as otherwise included in these Articles (including Articles 17.3 and 23.1), the rights attaching to the Class A Shares and Class B Shares shall have the same rights and powers, and rank </w:t>
            </w:r>
            <w:r>
              <w:rPr>
                <w:i/>
              </w:rPr>
              <w:t>pari passu</w:t>
            </w:r>
            <w:r>
              <w:rPr/>
              <w:t xml:space="preserve"> in all respects (including as to dividends, distributions, and upon the occurrence of any liquidation or winding up of the Company), share ratably and be identical in all respects as to all matters, unless different treatment of the shares of each such class is approved by the affirmative vote of the holders of the Class A Shares and the Class B Shares, each voting exclusively and as a separate class.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17.2</w:t>
            </w:r>
          </w:p>
        </w:tc>
        <w:tc>
          <w:tcPr>
            <w:tcW w:w="9728" w:type="dxa"/>
            <w:tcBorders/>
            <w:vAlign w:val="center"/>
          </w:tcPr>
          <w:p>
            <w:pPr>
              <w:pStyle w:val="TableContents"/>
              <w:bidi w:val="0"/>
              <w:spacing w:before="0" w:after="283"/>
              <w:jc w:val="both"/>
              <w:rPr/>
            </w:pPr>
            <w:r>
              <w:rPr/>
              <w:t>Holders of Ordinary Shares have the right to receive notice of, attend, speak and vote at general meetings of the Company. Except as set forth in these Articles (including Articles 17.3, 17.4 and 23.1), holders of Class A Shares and Class B Shares shall at all times vote together as one class on all matters submitted to a vote for Members’ consent. On all matters subject to a vote of the Members, Ordinary Shares shall be entitled to the voting rights as set forth in Article 23.</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17.3</w:t>
            </w:r>
          </w:p>
        </w:tc>
        <w:tc>
          <w:tcPr>
            <w:tcW w:w="9728" w:type="dxa"/>
            <w:tcBorders/>
            <w:vAlign w:val="center"/>
          </w:tcPr>
          <w:p>
            <w:pPr>
              <w:pStyle w:val="TableContents"/>
              <w:bidi w:val="0"/>
              <w:spacing w:before="0" w:after="283"/>
              <w:jc w:val="both"/>
              <w:rPr/>
            </w:pPr>
            <w:r>
              <w:rPr/>
              <w:t>In addition to any rights provided by Applicable Law or otherwise set forth in these Articles, the Company shall not, without the approval by vote or written consent of the holders of a majority of the voting power of the Class B Shares, voting exclusively and as a separate class, directly or indirectly, or whether by amendment or through merger, recapitalization, consolidation or otherwise:</w:t>
            </w:r>
          </w:p>
        </w:tc>
      </w:tr>
    </w:tbl>
    <w:p>
      <w:pPr>
        <w:pStyle w:val="TextBody"/>
        <w:bidi w:val="0"/>
        <w:spacing w:before="0" w:after="0"/>
        <w:ind w:left="1170" w:right="0" w:hanging="45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75"/>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775" w:type="dxa"/>
            <w:tcBorders/>
            <w:vAlign w:val="center"/>
          </w:tcPr>
          <w:p>
            <w:pPr>
              <w:pStyle w:val="TableContents"/>
              <w:bidi w:val="0"/>
              <w:spacing w:before="0" w:after="283"/>
              <w:jc w:val="left"/>
              <w:rPr/>
            </w:pPr>
            <w:r>
              <w:rPr/>
              <w:t>increase the number of authorized Class B Shares;</w:t>
            </w:r>
          </w:p>
        </w:tc>
      </w:tr>
    </w:tbl>
    <w:p>
      <w:pPr>
        <w:pStyle w:val="TextBody"/>
        <w:bidi w:val="0"/>
        <w:spacing w:before="0" w:after="0"/>
        <w:ind w:left="1170" w:right="0" w:hanging="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both"/>
              <w:rPr/>
            </w:pPr>
            <w:r>
              <w:rPr/>
              <w:t>issue any Class B Shares or securities convertible into or exchangeable for Class B Shares, other than to any Sponsor or his Permitted Entities;</w:t>
            </w:r>
          </w:p>
        </w:tc>
      </w:tr>
    </w:tbl>
    <w:p>
      <w:pPr>
        <w:pStyle w:val="TextBody"/>
        <w:bidi w:val="0"/>
        <w:spacing w:before="0" w:after="0"/>
        <w:ind w:left="117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both"/>
              <w:rPr/>
            </w:pPr>
            <w:r>
              <w:rPr/>
              <w:t>(c)</w:t>
            </w:r>
          </w:p>
        </w:tc>
        <w:tc>
          <w:tcPr>
            <w:tcW w:w="9917" w:type="dxa"/>
            <w:tcBorders/>
            <w:vAlign w:val="center"/>
          </w:tcPr>
          <w:p>
            <w:pPr>
              <w:pStyle w:val="TableContents"/>
              <w:bidi w:val="0"/>
              <w:spacing w:before="0" w:after="283"/>
              <w:jc w:val="both"/>
              <w:rPr/>
            </w:pPr>
            <w:r>
              <w:rPr/>
              <w:t>create, authorize, issue, or reclassify into, any preference shares or any shares in the capital of the Company that carry more than one (1) vote per share;</w:t>
            </w:r>
          </w:p>
        </w:tc>
      </w:tr>
    </w:tbl>
    <w:p>
      <w:pPr>
        <w:pStyle w:val="TextBody"/>
        <w:bidi w:val="0"/>
        <w:spacing w:before="0" w:after="0"/>
        <w:ind w:left="117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both"/>
              <w:rPr/>
            </w:pPr>
            <w:r>
              <w:rPr/>
              <w:t>(d)</w:t>
            </w:r>
          </w:p>
        </w:tc>
        <w:tc>
          <w:tcPr>
            <w:tcW w:w="9912" w:type="dxa"/>
            <w:tcBorders/>
            <w:vAlign w:val="center"/>
          </w:tcPr>
          <w:p>
            <w:pPr>
              <w:pStyle w:val="TableContents"/>
              <w:bidi w:val="0"/>
              <w:spacing w:before="0" w:after="283"/>
              <w:jc w:val="both"/>
              <w:rPr/>
            </w:pPr>
            <w:r>
              <w:rPr/>
              <w:t>reclassify any Class B Shares into any other class of shares or consolidate or combine any Class B Shares without proportionately increasing the number of votes per Class B Share; or</w:t>
            </w:r>
          </w:p>
        </w:tc>
      </w:tr>
    </w:tbl>
    <w:p>
      <w:pPr>
        <w:pStyle w:val="TextBody"/>
        <w:bidi w:val="0"/>
        <w:spacing w:before="0" w:after="0"/>
        <w:ind w:left="1170" w:right="0" w:hanging="45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(e)</w:t>
            </w:r>
          </w:p>
        </w:tc>
        <w:tc>
          <w:tcPr>
            <w:tcW w:w="9939" w:type="dxa"/>
            <w:tcBorders/>
            <w:vAlign w:val="center"/>
          </w:tcPr>
          <w:p>
            <w:pPr>
              <w:pStyle w:val="TableContents"/>
              <w:bidi w:val="0"/>
              <w:spacing w:before="0" w:after="283"/>
              <w:jc w:val="both"/>
              <w:rPr/>
            </w:pPr>
            <w:r>
              <w:rPr/>
              <w:t>amend, restate, waive, adopt any provision inconsistent with or otherwise vary or alter any provision of the Memorandum or these Articles relating to the voting, conversion or other rights, powers, preferences, privileges or restrictions of the Class B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781"/>
        <w:gridCol w:w="9357"/>
      </w:tblGrid>
      <w:tr>
        <w:trPr/>
        <w:tc>
          <w:tcPr>
            <w:tcW w:w="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both"/>
              <w:rPr/>
            </w:pPr>
            <w:r>
              <w:rPr/>
              <w:t>17.4</w:t>
            </w:r>
          </w:p>
        </w:tc>
        <w:tc>
          <w:tcPr>
            <w:tcW w:w="9357" w:type="dxa"/>
            <w:tcBorders/>
            <w:vAlign w:val="center"/>
          </w:tcPr>
          <w:p>
            <w:pPr>
              <w:pStyle w:val="TableContents"/>
              <w:bidi w:val="0"/>
              <w:spacing w:before="0" w:after="283"/>
              <w:jc w:val="both"/>
              <w:rPr/>
            </w:pPr>
            <w:r>
              <w:rPr/>
              <w:t>Optional and Automatic Conversion of Class B Shares:</w:t>
            </w:r>
          </w:p>
        </w:tc>
      </w:tr>
    </w:tbl>
    <w:p>
      <w:pPr>
        <w:pStyle w:val="TextBody"/>
        <w:bidi w:val="0"/>
        <w:spacing w:before="0" w:after="0"/>
        <w:ind w:left="1166" w:right="0" w:hanging="44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pPr>
            <w:r>
              <w:rPr/>
              <w:t>(a)</w:t>
            </w:r>
          </w:p>
        </w:tc>
        <w:tc>
          <w:tcPr>
            <w:tcW w:w="9949" w:type="dxa"/>
            <w:tcBorders/>
            <w:vAlign w:val="center"/>
          </w:tcPr>
          <w:p>
            <w:pPr>
              <w:pStyle w:val="TableContents"/>
              <w:bidi w:val="0"/>
              <w:spacing w:before="0" w:after="283"/>
              <w:jc w:val="both"/>
              <w:rPr/>
            </w:pPr>
            <w:r>
              <w:rPr/>
              <w:t>subject to the lock-up restrictions under Section 6.17 of the Merger Agreement, each Class B Share is convertible into one (1) Class A Share (as adjusted for share splits, share combinations and similar transactions occurring after the date of these Articles) at any time at the option of the holder thereof. In no event shall any Class A Share be convertible into any Class B Shares;</w:t>
            </w:r>
          </w:p>
        </w:tc>
      </w:tr>
    </w:tbl>
    <w:p>
      <w:pPr>
        <w:pStyle w:val="TextBody"/>
        <w:bidi w:val="0"/>
        <w:spacing w:before="0" w:after="0"/>
        <w:ind w:left="1166" w:right="0" w:hanging="44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pPr>
            <w:r>
              <w:rPr/>
              <w:t>(b)</w:t>
            </w:r>
          </w:p>
        </w:tc>
        <w:tc>
          <w:tcPr>
            <w:tcW w:w="9927" w:type="dxa"/>
            <w:tcBorders/>
            <w:vAlign w:val="center"/>
          </w:tcPr>
          <w:p>
            <w:pPr>
              <w:pStyle w:val="TableContents"/>
              <w:bidi w:val="0"/>
              <w:spacing w:before="0" w:after="283"/>
              <w:jc w:val="both"/>
              <w:rPr/>
            </w:pPr>
            <w:r>
              <w:rPr/>
              <w:t>each Class B Share beneficially owned by a Sponsor will automatically convert into one (1) Class A Share (as adjusted for share splits, share combinations and similar transactions occurring after the date of these Articles) on the first anniversary of such Sponsor’s death or Incapacity;</w:t>
            </w:r>
          </w:p>
        </w:tc>
      </w:tr>
    </w:tbl>
    <w:p>
      <w:pPr>
        <w:pStyle w:val="TextBody"/>
        <w:bidi w:val="0"/>
        <w:spacing w:before="0" w:after="0"/>
        <w:ind w:left="1166" w:right="0" w:hanging="446"/>
        <w:jc w:val="both"/>
        <w:rPr>
          <w:caps w:val="false"/>
          <w:smallCaps w:val="false"/>
        </w:rPr>
      </w:pPr>
      <w:r>
        <w:rPr>
          <w:caps w:val="false"/>
          <w:smallCaps w:val="false"/>
        </w:rPr>
        <w:t> </w:t>
      </w:r>
    </w:p>
    <w:p>
      <w:pPr>
        <w:pStyle w:val="TextBody"/>
        <w:bidi w:val="0"/>
        <w:spacing w:before="0" w:after="0"/>
        <w:ind w:left="1166" w:right="0" w:hanging="44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1166" w:right="0" w:hanging="44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both"/>
              <w:rPr/>
            </w:pPr>
            <w:r>
              <w:rPr/>
              <w:t>(c)</w:t>
            </w:r>
          </w:p>
        </w:tc>
        <w:tc>
          <w:tcPr>
            <w:tcW w:w="9929" w:type="dxa"/>
            <w:tcBorders/>
            <w:vAlign w:val="center"/>
          </w:tcPr>
          <w:p>
            <w:pPr>
              <w:pStyle w:val="TableContents"/>
              <w:bidi w:val="0"/>
              <w:spacing w:before="0" w:after="283"/>
              <w:jc w:val="both"/>
              <w:rPr/>
            </w:pPr>
            <w:r>
              <w:rPr/>
              <w:t>save for the issuances of Class B Shares contemplated by the Merger Agreement, no Class B Shares shall be issued by the Company after conversion of all Class B Shares into Class A Shares;</w:t>
            </w:r>
          </w:p>
        </w:tc>
      </w:tr>
    </w:tbl>
    <w:p>
      <w:pPr>
        <w:pStyle w:val="TextBody"/>
        <w:bidi w:val="0"/>
        <w:spacing w:before="0" w:after="0"/>
        <w:ind w:left="1166" w:right="0" w:hanging="44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pPr>
            <w:r>
              <w:rPr/>
              <w:t>(d)</w:t>
            </w:r>
          </w:p>
        </w:tc>
        <w:tc>
          <w:tcPr>
            <w:tcW w:w="9947" w:type="dxa"/>
            <w:tcBorders/>
            <w:vAlign w:val="center"/>
          </w:tcPr>
          <w:p>
            <w:pPr>
              <w:pStyle w:val="TableContents"/>
              <w:bidi w:val="0"/>
              <w:spacing w:before="0" w:after="283"/>
              <w:jc w:val="both"/>
              <w:rPr/>
            </w:pPr>
            <w:r>
              <w:rPr/>
              <w:t>subject to the lock-up restrictions under Section 6.17 of the Merger Agreement, upon any sale, pledge, transfer, assignment or other disposition of Class B Shares by a holder thereof to any Person which is not a Permitted Transferee of such holder, each such Class B Share shall be automatically and immediately converted into one (1) Class A Share (as adjusted for share splits, share combinations and similar transactions occurring after the date of these Articles); provided that, notwithstanding anything to the contrary in these Articles, any pledge of Class B Shares by a holder thereof that creates a security interest in such Class B Shares pursuant to a bona fide loan or indebtedness transaction shall be permitted (and not result in any such conversion) for so long as such holder continues to control, directly or indirectly, the exercise of the voting rights of such pledged Class B Shares; provided, further, however, that a foreclosure on such Class B Shares or other similar action by the pledgee will result in automatic and immediate conversion of such Class B Shares into Class A Shares unless the transferee in such foreclosure or similar action qualifies as a Permitted Transferee at such time. For the avoidance of doubt, any sale, pledge, transfer, assignment or disposition of Class B Shares to a Permitted Transferee does not result in automatic conversion into Class A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17.5</w:t>
            </w:r>
          </w:p>
        </w:tc>
        <w:tc>
          <w:tcPr>
            <w:tcW w:w="9728" w:type="dxa"/>
            <w:tcBorders/>
            <w:vAlign w:val="center"/>
          </w:tcPr>
          <w:p>
            <w:pPr>
              <w:pStyle w:val="TableContents"/>
              <w:bidi w:val="0"/>
              <w:spacing w:before="0" w:after="283"/>
              <w:jc w:val="both"/>
              <w:rPr/>
            </w:pPr>
            <w:r>
              <w:rPr/>
              <w:t>The Company may, from time to time, establish such policies and procedures relating to the conversion of the Class B Shares to Class A Shares, including the issuance of share certificates with respect thereto, as it may deem necessary or advisable.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17.6</w:t>
            </w:r>
          </w:p>
        </w:tc>
        <w:tc>
          <w:tcPr>
            <w:tcW w:w="9728" w:type="dxa"/>
            <w:tcBorders/>
            <w:vAlign w:val="center"/>
          </w:tcPr>
          <w:p>
            <w:pPr>
              <w:pStyle w:val="TableContents"/>
              <w:bidi w:val="0"/>
              <w:spacing w:before="0" w:after="283"/>
              <w:jc w:val="both"/>
              <w:rPr/>
            </w:pPr>
            <w:r>
              <w:rPr/>
              <w:t>The Company shall at all times reserve and keep available out of its authorized but unissued Class A Shares, solely for the purpose of effecting the conversion of the Class B Shares, such number of its Class A Shares as shall from time to time be sufficient to effect the conversion of all outstanding Class B Shares; and if at any time the number of authorized but unissued Class A Shares shall not be sufficient to effect the conversion of all then-outstanding Class B Shares, the Company will take such corporate action as may, in the opinion of its counsel, be necessary to increase its authorized but unissued Class A Shares to such numbers of shares as shall be sufficient for such purpose.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21"/>
        <w:gridCol w:w="9838"/>
      </w:tblGrid>
      <w:tr>
        <w:trPr/>
        <w:tc>
          <w:tcPr>
            <w:tcW w:w="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18</w:t>
            </w:r>
          </w:p>
        </w:tc>
        <w:tc>
          <w:tcPr>
            <w:tcW w:w="9838" w:type="dxa"/>
            <w:tcBorders/>
            <w:vAlign w:val="center"/>
          </w:tcPr>
          <w:p>
            <w:pPr>
              <w:pStyle w:val="TableContents"/>
              <w:bidi w:val="0"/>
              <w:spacing w:before="0" w:after="283"/>
              <w:jc w:val="both"/>
              <w:rPr/>
            </w:pPr>
            <w:r>
              <w:rPr/>
              <w:t>Amendments of Memorandum and Articles of Association and Alteration of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18.1</w:t>
            </w:r>
          </w:p>
        </w:tc>
        <w:tc>
          <w:tcPr>
            <w:tcW w:w="9728" w:type="dxa"/>
            <w:tcBorders/>
            <w:vAlign w:val="center"/>
          </w:tcPr>
          <w:p>
            <w:pPr>
              <w:pStyle w:val="TableContents"/>
              <w:bidi w:val="0"/>
              <w:spacing w:before="0" w:after="283"/>
              <w:jc w:val="both"/>
              <w:rPr/>
            </w:pPr>
            <w:r>
              <w:rPr/>
              <w:t>The Company may by Ordinary Resolution, subject to the rights of the Class B Shares, including under Article 17.3:</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both"/>
              <w:rPr/>
            </w:pPr>
            <w:r>
              <w:rPr/>
              <w:t>(a)</w:t>
            </w:r>
          </w:p>
        </w:tc>
        <w:tc>
          <w:tcPr>
            <w:tcW w:w="9929" w:type="dxa"/>
            <w:tcBorders/>
            <w:vAlign w:val="center"/>
          </w:tcPr>
          <w:p>
            <w:pPr>
              <w:pStyle w:val="TableContents"/>
              <w:bidi w:val="0"/>
              <w:spacing w:before="0" w:after="283"/>
              <w:jc w:val="both"/>
              <w:rPr/>
            </w:pPr>
            <w:r>
              <w:rPr/>
              <w:t>increase its share capital by such sum as the Ordinary Resolution shall prescribe and with such rights, priorities and privileges annexed thereto, as the Company in general meeting may determine;</w:t>
            </w:r>
          </w:p>
        </w:tc>
      </w:tr>
    </w:tbl>
    <w:p>
      <w:pPr>
        <w:pStyle w:val="TextBody"/>
        <w:bidi w:val="0"/>
        <w:spacing w:before="0" w:after="0"/>
        <w:ind w:left="1170" w:right="0" w:hanging="36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29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(b)</w:t>
            </w:r>
          </w:p>
        </w:tc>
        <w:tc>
          <w:tcPr>
            <w:tcW w:w="9860" w:type="dxa"/>
            <w:tcBorders/>
            <w:vAlign w:val="center"/>
          </w:tcPr>
          <w:p>
            <w:pPr>
              <w:pStyle w:val="TableContents"/>
              <w:bidi w:val="0"/>
              <w:spacing w:before="0" w:after="283"/>
              <w:jc w:val="both"/>
              <w:rPr/>
            </w:pPr>
            <w:r>
              <w:rPr/>
              <w:t>consolidate and divide all or any of its share capital into Shares of larger amount than its existing Shares;</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pPr>
            <w:r>
              <w:rPr/>
              <w:t>(c)</w:t>
            </w:r>
          </w:p>
        </w:tc>
        <w:tc>
          <w:tcPr>
            <w:tcW w:w="9945" w:type="dxa"/>
            <w:tcBorders/>
            <w:vAlign w:val="center"/>
          </w:tcPr>
          <w:p>
            <w:pPr>
              <w:pStyle w:val="TableContents"/>
              <w:bidi w:val="0"/>
              <w:spacing w:before="0" w:after="283"/>
              <w:jc w:val="both"/>
              <w:rPr/>
            </w:pPr>
            <w:r>
              <w:rPr/>
              <w:t>by subdivision of its existing Shares or any of them divide the whole or any part of its share capital into Shares of smaller amount; provided, that in the subdivision the amount paid and the amount, if any, unpaid on each reduced share shall be the same as it was in case of the share from which the reduced share is derived; or</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both"/>
              <w:rPr/>
            </w:pPr>
            <w:r>
              <w:rPr/>
              <w:t>(d)</w:t>
            </w:r>
          </w:p>
        </w:tc>
        <w:tc>
          <w:tcPr>
            <w:tcW w:w="9919" w:type="dxa"/>
            <w:tcBorders/>
            <w:vAlign w:val="center"/>
          </w:tcPr>
          <w:p>
            <w:pPr>
              <w:pStyle w:val="TableContents"/>
              <w:bidi w:val="0"/>
              <w:spacing w:before="0" w:after="283"/>
              <w:jc w:val="both"/>
              <w:rPr/>
            </w:pPr>
            <w:r>
              <w:rPr/>
              <w:t>cancel any Shares that at the date of the passing of the Ordinary Resolution have not been taken or agreed to be taken by any Person and diminish the amount of its share capital by the amount of the Shares so cancelled.</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18.2</w:t>
            </w:r>
          </w:p>
        </w:tc>
        <w:tc>
          <w:tcPr>
            <w:tcW w:w="9728" w:type="dxa"/>
            <w:tcBorders/>
            <w:vAlign w:val="center"/>
          </w:tcPr>
          <w:p>
            <w:pPr>
              <w:pStyle w:val="TableContents"/>
              <w:bidi w:val="0"/>
              <w:spacing w:before="0" w:after="283"/>
              <w:jc w:val="both"/>
              <w:rPr/>
            </w:pPr>
            <w:r>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18.3</w:t>
            </w:r>
          </w:p>
        </w:tc>
        <w:tc>
          <w:tcPr>
            <w:tcW w:w="9728" w:type="dxa"/>
            <w:tcBorders/>
            <w:vAlign w:val="center"/>
          </w:tcPr>
          <w:p>
            <w:pPr>
              <w:pStyle w:val="TableContents"/>
              <w:bidi w:val="0"/>
              <w:spacing w:before="0" w:after="283"/>
              <w:jc w:val="both"/>
              <w:rPr/>
            </w:pPr>
            <w:r>
              <w:rPr/>
              <w:t>Subject to the rights of the Class B Shares, including under Article 17.3(e), the provisions of the Statute, the provisions of the Articles as regards the matters to be dealt with by Ordinary Resolution, the Company may by Special Resolution:</w:t>
            </w:r>
          </w:p>
        </w:tc>
      </w:tr>
    </w:tbl>
    <w:p>
      <w:pPr>
        <w:pStyle w:val="TextBody"/>
        <w:bidi w:val="0"/>
        <w:spacing w:before="0" w:after="0"/>
        <w:ind w:left="1080" w:right="0" w:hanging="36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275"/>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(a)</w:t>
            </w:r>
          </w:p>
        </w:tc>
        <w:tc>
          <w:tcPr>
            <w:tcW w:w="1610" w:type="dxa"/>
            <w:tcBorders/>
            <w:vAlign w:val="center"/>
          </w:tcPr>
          <w:p>
            <w:pPr>
              <w:pStyle w:val="TableContents"/>
              <w:bidi w:val="0"/>
              <w:spacing w:before="0" w:after="283"/>
              <w:jc w:val="both"/>
              <w:rPr/>
            </w:pPr>
            <w:r>
              <w:rPr/>
              <w:t>change its name;</w:t>
            </w:r>
          </w:p>
        </w:tc>
      </w:tr>
    </w:tbl>
    <w:p>
      <w:pPr>
        <w:pStyle w:val="TextBody"/>
        <w:bidi w:val="0"/>
        <w:spacing w:before="0" w:after="0"/>
        <w:ind w:left="1080" w:right="0" w:hanging="36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9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(b)</w:t>
            </w:r>
          </w:p>
        </w:tc>
        <w:tc>
          <w:tcPr>
            <w:tcW w:w="2540" w:type="dxa"/>
            <w:tcBorders/>
            <w:vAlign w:val="center"/>
          </w:tcPr>
          <w:p>
            <w:pPr>
              <w:pStyle w:val="TableContents"/>
              <w:bidi w:val="0"/>
              <w:spacing w:before="0" w:after="283"/>
              <w:jc w:val="both"/>
              <w:rPr/>
            </w:pPr>
            <w:r>
              <w:rPr/>
              <w:t>alter or add to the Articles;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both"/>
              <w:rPr/>
            </w:pPr>
            <w:r>
              <w:rPr/>
              <w:t>(c)</w:t>
            </w:r>
          </w:p>
        </w:tc>
        <w:tc>
          <w:tcPr>
            <w:tcW w:w="9894" w:type="dxa"/>
            <w:tcBorders/>
            <w:vAlign w:val="center"/>
          </w:tcPr>
          <w:p>
            <w:pPr>
              <w:pStyle w:val="TableContents"/>
              <w:bidi w:val="0"/>
              <w:spacing w:before="0" w:after="283"/>
              <w:jc w:val="both"/>
              <w:rPr/>
            </w:pPr>
            <w:r>
              <w:rPr/>
              <w:t>alter or add to the Memorandum with respect to any objects, powers or other matters specified therein; and</w:t>
            </w:r>
          </w:p>
        </w:tc>
      </w:tr>
    </w:tbl>
    <w:p>
      <w:pPr>
        <w:pStyle w:val="TextBody"/>
        <w:bidi w:val="0"/>
        <w:spacing w:before="0" w:after="0"/>
        <w:ind w:left="1080" w:right="0" w:hanging="36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9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(d)</w:t>
            </w:r>
          </w:p>
        </w:tc>
        <w:tc>
          <w:tcPr>
            <w:tcW w:w="5915" w:type="dxa"/>
            <w:tcBorders/>
            <w:vAlign w:val="center"/>
          </w:tcPr>
          <w:p>
            <w:pPr>
              <w:pStyle w:val="TableContents"/>
              <w:bidi w:val="0"/>
              <w:spacing w:before="0" w:after="283"/>
              <w:jc w:val="both"/>
              <w:rPr/>
            </w:pPr>
            <w:r>
              <w:rPr/>
              <w:t>reduce its share capital or any capital redemption reserve fund.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818"/>
        <w:gridCol w:w="9268"/>
      </w:tblGrid>
      <w:tr>
        <w:trPr/>
        <w:tc>
          <w:tcPr>
            <w:tcW w:w="11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w:t>
            </w:r>
          </w:p>
        </w:tc>
        <w:tc>
          <w:tcPr>
            <w:tcW w:w="9268" w:type="dxa"/>
            <w:tcBorders/>
            <w:vAlign w:val="center"/>
          </w:tcPr>
          <w:p>
            <w:pPr>
              <w:pStyle w:val="TableContents"/>
              <w:bidi w:val="0"/>
              <w:spacing w:before="0" w:after="283"/>
              <w:jc w:val="both"/>
              <w:rPr/>
            </w:pPr>
            <w:r>
              <w:rPr/>
              <w:t>Offices and Places of Business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318"/>
        <w:gridCol w:w="8695"/>
      </w:tblGrid>
      <w:tr>
        <w:trPr/>
        <w:tc>
          <w:tcPr>
            <w:tcW w:w="19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w:t>
            </w:r>
          </w:p>
        </w:tc>
        <w:tc>
          <w:tcPr>
            <w:tcW w:w="8695" w:type="dxa"/>
            <w:tcBorders/>
            <w:vAlign w:val="center"/>
          </w:tcPr>
          <w:p>
            <w:pPr>
              <w:pStyle w:val="TableContents"/>
              <w:bidi w:val="0"/>
              <w:spacing w:before="0" w:after="283"/>
              <w:jc w:val="both"/>
              <w:rPr/>
            </w:pPr>
            <w:r>
              <w:rPr/>
              <w:t>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20.1</w:t>
            </w:r>
          </w:p>
        </w:tc>
        <w:tc>
          <w:tcPr>
            <w:tcW w:w="9728" w:type="dxa"/>
            <w:tcBorders/>
            <w:vAlign w:val="center"/>
          </w:tcPr>
          <w:p>
            <w:pPr>
              <w:pStyle w:val="TableContents"/>
              <w:bidi w:val="0"/>
              <w:spacing w:before="0" w:after="283"/>
              <w:jc w:val="both"/>
              <w:rPr/>
            </w:pPr>
            <w:r>
              <w:rPr/>
              <w:t>All general meetings other than annual general meetings shall be called extraordinary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20.2</w:t>
            </w:r>
          </w:p>
        </w:tc>
        <w:tc>
          <w:tcPr>
            <w:tcW w:w="9728" w:type="dxa"/>
            <w:tcBorders/>
            <w:vAlign w:val="center"/>
          </w:tcPr>
          <w:p>
            <w:pPr>
              <w:pStyle w:val="TableContents"/>
              <w:bidi w:val="0"/>
              <w:spacing w:before="0" w:after="283"/>
              <w:jc w:val="both"/>
              <w:rPr/>
            </w:pPr>
            <w:r>
              <w:rPr/>
              <w:t>The Company may (but shall not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20.3</w:t>
            </w:r>
          </w:p>
        </w:tc>
        <w:tc>
          <w:tcPr>
            <w:tcW w:w="9728" w:type="dxa"/>
            <w:tcBorders/>
            <w:vAlign w:val="center"/>
          </w:tcPr>
          <w:p>
            <w:pPr>
              <w:pStyle w:val="TableContents"/>
              <w:bidi w:val="0"/>
              <w:spacing w:before="0" w:after="283"/>
              <w:jc w:val="both"/>
              <w:rPr/>
            </w:pPr>
            <w:r>
              <w:rPr/>
              <w:t>The Directors, the chief executive officer or the Chairman may call general meetings, and, for the avoidance of doubt, Members shall not have the ability to call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20.4</w:t>
            </w:r>
          </w:p>
        </w:tc>
        <w:tc>
          <w:tcPr>
            <w:tcW w:w="9728" w:type="dxa"/>
            <w:tcBorders/>
            <w:vAlign w:val="center"/>
          </w:tcPr>
          <w:p>
            <w:pPr>
              <w:pStyle w:val="TableContents"/>
              <w:bidi w:val="0"/>
              <w:spacing w:before="0" w:after="283"/>
              <w:jc w:val="both"/>
              <w:rPr/>
            </w:pPr>
            <w:r>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897"/>
        <w:gridCol w:w="9178"/>
      </w:tblGrid>
      <w:tr>
        <w:trPr/>
        <w:tc>
          <w:tcPr>
            <w:tcW w:w="13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21</w:t>
            </w:r>
          </w:p>
        </w:tc>
        <w:tc>
          <w:tcPr>
            <w:tcW w:w="9178" w:type="dxa"/>
            <w:tcBorders/>
            <w:vAlign w:val="center"/>
          </w:tcPr>
          <w:p>
            <w:pPr>
              <w:pStyle w:val="TableContents"/>
              <w:bidi w:val="0"/>
              <w:spacing w:before="0" w:after="283"/>
              <w:jc w:val="both"/>
              <w:rPr/>
            </w:pPr>
            <w:r>
              <w:rPr/>
              <w:t>Notice of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21.1</w:t>
            </w:r>
          </w:p>
        </w:tc>
        <w:tc>
          <w:tcPr>
            <w:tcW w:w="9728" w:type="dxa"/>
            <w:tcBorders/>
            <w:vAlign w:val="center"/>
          </w:tcPr>
          <w:p>
            <w:pPr>
              <w:pStyle w:val="TableContents"/>
              <w:bidi w:val="0"/>
              <w:spacing w:before="0" w:after="283"/>
              <w:jc w:val="both"/>
              <w:rPr/>
            </w:pPr>
            <w:r>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both"/>
              <w:rPr/>
            </w:pPr>
            <w:r>
              <w:rPr/>
              <w:t>(a)</w:t>
            </w:r>
          </w:p>
        </w:tc>
        <w:tc>
          <w:tcPr>
            <w:tcW w:w="9904" w:type="dxa"/>
            <w:tcBorders/>
            <w:vAlign w:val="center"/>
          </w:tcPr>
          <w:p>
            <w:pPr>
              <w:pStyle w:val="TableContents"/>
              <w:bidi w:val="0"/>
              <w:spacing w:before="0" w:after="283"/>
              <w:jc w:val="both"/>
              <w:rPr/>
            </w:pPr>
            <w:r>
              <w:rPr/>
              <w:t>in the case of an annual general meeting, by all of the Members (or their proxies) entitled to attend and vote thereat; and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both"/>
              <w:rPr/>
            </w:pPr>
            <w:r>
              <w:rPr/>
              <w:t>(b)</w:t>
            </w:r>
          </w:p>
        </w:tc>
        <w:tc>
          <w:tcPr>
            <w:tcW w:w="9926" w:type="dxa"/>
            <w:tcBorders/>
            <w:vAlign w:val="center"/>
          </w:tcPr>
          <w:p>
            <w:pPr>
              <w:pStyle w:val="TableContents"/>
              <w:bidi w:val="0"/>
              <w:spacing w:before="0" w:after="283"/>
              <w:jc w:val="both"/>
              <w:rPr/>
            </w:pPr>
            <w:r>
              <w:rPr/>
              <w:t>in the case of an extraordinary general meeting, by Members (or their proxies) having the right to attend and vote at the meeting, together holding shares entitling the holders thereof to not less than two-thirds of the votes entitled to be cast at such extraordinary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21.2</w:t>
            </w:r>
          </w:p>
        </w:tc>
        <w:tc>
          <w:tcPr>
            <w:tcW w:w="9728" w:type="dxa"/>
            <w:tcBorders/>
            <w:vAlign w:val="center"/>
          </w:tcPr>
          <w:p>
            <w:pPr>
              <w:pStyle w:val="TableContents"/>
              <w:bidi w:val="0"/>
              <w:spacing w:before="0" w:after="283"/>
              <w:jc w:val="both"/>
              <w:rPr/>
            </w:pPr>
            <w:r>
              <w:rPr/>
              <w:t>The accidental omission to give notice of a general meeting to, or the non-receipt of notice of a general meeting by, any Person entitled to receive such notice shall not invalidate the proceedings of that general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768"/>
        <w:gridCol w:w="9325"/>
      </w:tblGrid>
      <w:tr>
        <w:trPr/>
        <w:tc>
          <w:tcPr>
            <w:tcW w:w="11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22</w:t>
            </w:r>
          </w:p>
        </w:tc>
        <w:tc>
          <w:tcPr>
            <w:tcW w:w="9325" w:type="dxa"/>
            <w:tcBorders/>
            <w:vAlign w:val="center"/>
          </w:tcPr>
          <w:p>
            <w:pPr>
              <w:pStyle w:val="TableContents"/>
              <w:bidi w:val="0"/>
              <w:spacing w:before="0" w:after="283"/>
              <w:jc w:val="both"/>
              <w:rPr/>
            </w:pPr>
            <w:r>
              <w:rPr/>
              <w:t>Proceedings at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22.1</w:t>
            </w:r>
          </w:p>
        </w:tc>
        <w:tc>
          <w:tcPr>
            <w:tcW w:w="9728" w:type="dxa"/>
            <w:tcBorders/>
            <w:vAlign w:val="center"/>
          </w:tcPr>
          <w:p>
            <w:pPr>
              <w:pStyle w:val="TableContents"/>
              <w:bidi w:val="0"/>
              <w:spacing w:before="0" w:after="283"/>
              <w:jc w:val="both"/>
              <w:rPr/>
            </w:pPr>
            <w:r>
              <w:rPr/>
              <w:t>No business shall be transacted at any general meeting unless a quorum of Members is present. A general meeting is duly constituted if, at the commencement of the meeting, there are present in person, through their authorised representative or by proxy two Members entitled to vote on resolutions of Members to be considered at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22.2</w:t>
            </w:r>
          </w:p>
        </w:tc>
        <w:tc>
          <w:tcPr>
            <w:tcW w:w="9728" w:type="dxa"/>
            <w:tcBorders/>
            <w:vAlign w:val="center"/>
          </w:tcPr>
          <w:p>
            <w:pPr>
              <w:pStyle w:val="TableContents"/>
              <w:bidi w:val="0"/>
              <w:spacing w:before="0" w:after="283"/>
              <w:jc w:val="both"/>
              <w:rPr/>
            </w:pPr>
            <w:r>
              <w:rPr/>
              <w:t>If provided by the Company,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22.3</w:t>
            </w:r>
          </w:p>
        </w:tc>
        <w:tc>
          <w:tcPr>
            <w:tcW w:w="9728" w:type="dxa"/>
            <w:tcBorders/>
            <w:vAlign w:val="center"/>
          </w:tcPr>
          <w:p>
            <w:pPr>
              <w:pStyle w:val="TableContents"/>
              <w:bidi w:val="0"/>
              <w:spacing w:before="0" w:after="283"/>
              <w:jc w:val="both"/>
              <w:rPr/>
            </w:pPr>
            <w:r>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22.4</w:t>
            </w:r>
          </w:p>
        </w:tc>
        <w:tc>
          <w:tcPr>
            <w:tcW w:w="9728" w:type="dxa"/>
            <w:tcBorders/>
            <w:vAlign w:val="center"/>
          </w:tcPr>
          <w:p>
            <w:pPr>
              <w:pStyle w:val="TableContents"/>
              <w:bidi w:val="0"/>
              <w:spacing w:before="0" w:after="283"/>
              <w:jc w:val="both"/>
              <w:rPr/>
            </w:pPr>
            <w:r>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22.5</w:t>
            </w:r>
          </w:p>
        </w:tc>
        <w:tc>
          <w:tcPr>
            <w:tcW w:w="9728" w:type="dxa"/>
            <w:tcBorders/>
            <w:vAlign w:val="center"/>
          </w:tcPr>
          <w:p>
            <w:pPr>
              <w:pStyle w:val="TableContents"/>
              <w:bidi w:val="0"/>
              <w:spacing w:before="0" w:after="283"/>
              <w:jc w:val="both"/>
              <w:rPr/>
            </w:pPr>
            <w:r>
              <w:rPr/>
              <w:t>The Directors may, at the time prior to the time appointed for the meeting to commence, appoint any Person to act as a chairman of a general meeting or, if the Directors do not make any such appointment, the Chairman, if any, of the board of Directors (as elected by a majority of the Directors in accordance with Article 31.7) shall preside as chairman at such general meeting. If there is no Chairman present, or if the Chairman is unwilling to act, the Directors present shall elect one of their number to be chairman of the meeting. The voting rights of the chairman, if a Director, as to the matters to be decided by the board of Directors shall be the same as other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22.6</w:t>
            </w:r>
          </w:p>
        </w:tc>
        <w:tc>
          <w:tcPr>
            <w:tcW w:w="9728" w:type="dxa"/>
            <w:tcBorders/>
            <w:vAlign w:val="center"/>
          </w:tcPr>
          <w:p>
            <w:pPr>
              <w:pStyle w:val="TableContents"/>
              <w:bidi w:val="0"/>
              <w:spacing w:before="0" w:after="283"/>
              <w:jc w:val="both"/>
              <w:rPr/>
            </w:pPr>
            <w:r>
              <w:rPr/>
              <w:t>The chairman may, with the consent of a meeting at which a quorum is present (and shall if so directed by the meeting) adjourn the meeting from time to time and from place to place (provided, that no special meeting called by the holders of Class B Shares may be adjourned unless a quorum does not exist), but no business shall be transacted at any adjourned meeting other than the business left unfinished at the meeting from which the adjournment took place.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22.7</w:t>
            </w:r>
          </w:p>
        </w:tc>
        <w:tc>
          <w:tcPr>
            <w:tcW w:w="9728" w:type="dxa"/>
            <w:tcBorders/>
            <w:vAlign w:val="center"/>
          </w:tcPr>
          <w:p>
            <w:pPr>
              <w:pStyle w:val="TableContents"/>
              <w:bidi w:val="0"/>
              <w:spacing w:before="0" w:after="283"/>
              <w:jc w:val="both"/>
              <w:rPr/>
            </w:pPr>
            <w:r>
              <w:rPr/>
              <w:t>When a general meeting is adjourned for thirty days or more, notice of the adjourned meeting shall be given as in the case of an original meeting. Otherwise, it shall not be necessary to give any such notice of an adjourned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639"/>
        <w:gridCol w:w="9511"/>
      </w:tblGrid>
      <w:tr>
        <w:trPr/>
        <w:tc>
          <w:tcPr>
            <w:tcW w:w="5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both"/>
              <w:rPr/>
            </w:pPr>
            <w:r>
              <w:rPr/>
              <w:t>22.8</w:t>
            </w:r>
          </w:p>
        </w:tc>
        <w:tc>
          <w:tcPr>
            <w:tcW w:w="9511" w:type="dxa"/>
            <w:tcBorders/>
            <w:vAlign w:val="center"/>
          </w:tcPr>
          <w:p>
            <w:pPr>
              <w:pStyle w:val="TableContents"/>
              <w:bidi w:val="0"/>
              <w:spacing w:before="0" w:after="283"/>
              <w:jc w:val="both"/>
              <w:rPr/>
            </w:pPr>
            <w:r>
              <w:rPr/>
              <w:t>A resolution put to the vote of the meeting shall be decided on a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22.9</w:t>
            </w:r>
          </w:p>
        </w:tc>
        <w:tc>
          <w:tcPr>
            <w:tcW w:w="9728" w:type="dxa"/>
            <w:tcBorders/>
            <w:vAlign w:val="center"/>
          </w:tcPr>
          <w:p>
            <w:pPr>
              <w:pStyle w:val="TableContents"/>
              <w:bidi w:val="0"/>
              <w:spacing w:before="0" w:after="283"/>
              <w:jc w:val="both"/>
              <w:rPr/>
            </w:pPr>
            <w:r>
              <w:rPr/>
              <w:t>A poll shall be taken as the chairman directs, and the result of the poll shall be deemed to be the resolution of the general meeting at which the poll was demanded.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both"/>
              <w:rPr/>
            </w:pPr>
            <w:r>
              <w:rPr/>
              <w:t>22.10</w:t>
            </w:r>
          </w:p>
        </w:tc>
        <w:tc>
          <w:tcPr>
            <w:tcW w:w="9608" w:type="dxa"/>
            <w:tcBorders/>
            <w:vAlign w:val="center"/>
          </w:tcPr>
          <w:p>
            <w:pPr>
              <w:pStyle w:val="TableContents"/>
              <w:bidi w:val="0"/>
              <w:spacing w:before="0" w:after="283"/>
              <w:jc w:val="both"/>
              <w:rPr/>
            </w:pPr>
            <w:r>
              <w:rPr/>
              <w:t>A poll demanded on the election of a chairman or on a question of adjournment shall be taken forthwith (provided, that no special meeting called by a holder of Class B Shares may be adjourned unless a quorum does not exist). A poll demanded on any other question shall be taken at such date, time and place as the chairman of the general meeting directs, and any business other than that upon which a poll has been demanded or is contingent thereon may proceed pending the taking of the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620"/>
        <w:gridCol w:w="9544"/>
      </w:tblGrid>
      <w:tr>
        <w:trPr/>
        <w:tc>
          <w:tcPr>
            <w:tcW w:w="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both"/>
              <w:rPr/>
            </w:pPr>
            <w:r>
              <w:rPr/>
              <w:t>22.11</w:t>
            </w:r>
          </w:p>
        </w:tc>
        <w:tc>
          <w:tcPr>
            <w:tcW w:w="9544" w:type="dxa"/>
            <w:tcBorders/>
            <w:vAlign w:val="center"/>
          </w:tcPr>
          <w:p>
            <w:pPr>
              <w:pStyle w:val="TableContents"/>
              <w:bidi w:val="0"/>
              <w:spacing w:before="0" w:after="283"/>
              <w:jc w:val="both"/>
              <w:rPr/>
            </w:pPr>
            <w:r>
              <w:rPr/>
              <w:t>In the case of an equality of votes the chairman shall be entitled to a second or casting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271"/>
        <w:gridCol w:w="8749"/>
      </w:tblGrid>
      <w:tr>
        <w:trPr/>
        <w:tc>
          <w:tcPr>
            <w:tcW w:w="18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23</w:t>
            </w:r>
          </w:p>
        </w:tc>
        <w:tc>
          <w:tcPr>
            <w:tcW w:w="8749" w:type="dxa"/>
            <w:tcBorders/>
            <w:vAlign w:val="center"/>
          </w:tcPr>
          <w:p>
            <w:pPr>
              <w:pStyle w:val="TableContents"/>
              <w:bidi w:val="0"/>
              <w:spacing w:before="0" w:after="283"/>
              <w:jc w:val="both"/>
              <w:rPr/>
            </w:pPr>
            <w:r>
              <w:rPr/>
              <w:t>Votes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23.1</w:t>
            </w:r>
          </w:p>
        </w:tc>
        <w:tc>
          <w:tcPr>
            <w:tcW w:w="9728" w:type="dxa"/>
            <w:tcBorders/>
            <w:vAlign w:val="center"/>
          </w:tcPr>
          <w:p>
            <w:pPr>
              <w:pStyle w:val="TableContents"/>
              <w:bidi w:val="0"/>
              <w:spacing w:before="0" w:after="283"/>
              <w:jc w:val="both"/>
              <w:rPr/>
            </w:pPr>
            <w:r>
              <w:rPr/>
              <w:t>Subject to any rights or restrictions attached to any Shares, including in Articles 17.3 and Article 17.4, each Class A Share shall be entitled to one (1) vote on all matters subject to a vote of Members, and each Class B Share shall be entitled to ten (10) votes on all matters subject to a vote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23.2</w:t>
            </w:r>
          </w:p>
        </w:tc>
        <w:tc>
          <w:tcPr>
            <w:tcW w:w="9728" w:type="dxa"/>
            <w:tcBorders/>
            <w:vAlign w:val="center"/>
          </w:tcPr>
          <w:p>
            <w:pPr>
              <w:pStyle w:val="TableContents"/>
              <w:bidi w:val="0"/>
              <w:spacing w:before="0" w:after="283"/>
              <w:jc w:val="both"/>
              <w:rPr/>
            </w:pPr>
            <w:r>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23.3</w:t>
            </w:r>
          </w:p>
        </w:tc>
        <w:tc>
          <w:tcPr>
            <w:tcW w:w="9728" w:type="dxa"/>
            <w:tcBorders/>
            <w:vAlign w:val="center"/>
          </w:tcPr>
          <w:p>
            <w:pPr>
              <w:pStyle w:val="TableContents"/>
              <w:bidi w:val="0"/>
              <w:spacing w:before="0" w:after="283"/>
              <w:jc w:val="both"/>
              <w:rPr/>
            </w:pPr>
            <w:r>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23.4</w:t>
            </w:r>
          </w:p>
        </w:tc>
        <w:tc>
          <w:tcPr>
            <w:tcW w:w="9728" w:type="dxa"/>
            <w:tcBorders/>
            <w:vAlign w:val="center"/>
          </w:tcPr>
          <w:p>
            <w:pPr>
              <w:pStyle w:val="TableContents"/>
              <w:bidi w:val="0"/>
              <w:spacing w:before="0" w:after="283"/>
              <w:jc w:val="both"/>
              <w:rPr/>
            </w:pPr>
            <w:r>
              <w:rPr/>
              <w:t>No Person shall be entitled to vote at any general meeting unless he is registered as a Member on the record date for such meeting nor unless all calls or other monies then payable by him in respect of Shares have been paid.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23.5</w:t>
            </w:r>
          </w:p>
        </w:tc>
        <w:tc>
          <w:tcPr>
            <w:tcW w:w="9728" w:type="dxa"/>
            <w:tcBorders/>
            <w:vAlign w:val="center"/>
          </w:tcPr>
          <w:p>
            <w:pPr>
              <w:pStyle w:val="TableContents"/>
              <w:bidi w:val="0"/>
              <w:spacing w:before="0" w:after="283"/>
              <w:jc w:val="both"/>
              <w:rPr/>
            </w:pPr>
            <w:r>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23.6</w:t>
            </w:r>
          </w:p>
        </w:tc>
        <w:tc>
          <w:tcPr>
            <w:tcW w:w="9728" w:type="dxa"/>
            <w:tcBorders/>
            <w:vAlign w:val="center"/>
          </w:tcPr>
          <w:p>
            <w:pPr>
              <w:pStyle w:val="TableContents"/>
              <w:bidi w:val="0"/>
              <w:spacing w:before="0" w:after="283"/>
              <w:jc w:val="both"/>
              <w:rPr/>
            </w:pPr>
            <w:r>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23.7</w:t>
            </w:r>
          </w:p>
        </w:tc>
        <w:tc>
          <w:tcPr>
            <w:tcW w:w="9728" w:type="dxa"/>
            <w:tcBorders/>
            <w:vAlign w:val="center"/>
          </w:tcPr>
          <w:p>
            <w:pPr>
              <w:pStyle w:val="TableContents"/>
              <w:bidi w:val="0"/>
              <w:spacing w:before="0" w:after="283"/>
              <w:jc w:val="both"/>
              <w:rPr/>
            </w:pPr>
            <w:r>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2556"/>
        <w:gridCol w:w="7276"/>
      </w:tblGrid>
      <w:tr>
        <w:trPr/>
        <w:tc>
          <w:tcPr>
            <w:tcW w:w="373"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7276" w:type="dxa"/>
            <w:tcBorders/>
            <w:vAlign w:val="center"/>
          </w:tcPr>
          <w:p>
            <w:pPr>
              <w:pStyle w:val="TableContents"/>
              <w:bidi w:val="0"/>
              <w:spacing w:before="0" w:after="283"/>
              <w:jc w:val="left"/>
              <w:rPr/>
            </w:pPr>
            <w:r>
              <w:rPr/>
              <w:t>Proxies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24.1</w:t>
            </w:r>
          </w:p>
        </w:tc>
        <w:tc>
          <w:tcPr>
            <w:tcW w:w="9728" w:type="dxa"/>
            <w:tcBorders/>
            <w:vAlign w:val="center"/>
          </w:tcPr>
          <w:p>
            <w:pPr>
              <w:pStyle w:val="TableContents"/>
              <w:bidi w:val="0"/>
              <w:spacing w:before="0" w:after="283"/>
              <w:jc w:val="both"/>
              <w:rPr/>
            </w:pPr>
            <w:r>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24.2</w:t>
            </w:r>
          </w:p>
        </w:tc>
        <w:tc>
          <w:tcPr>
            <w:tcW w:w="9728" w:type="dxa"/>
            <w:tcBorders/>
            <w:vAlign w:val="center"/>
          </w:tcPr>
          <w:p>
            <w:pPr>
              <w:pStyle w:val="TableContents"/>
              <w:bidi w:val="0"/>
              <w:spacing w:before="0" w:after="283"/>
              <w:jc w:val="both"/>
              <w:rPr/>
            </w:pPr>
            <w:r>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24.3</w:t>
            </w:r>
          </w:p>
        </w:tc>
        <w:tc>
          <w:tcPr>
            <w:tcW w:w="9728" w:type="dxa"/>
            <w:tcBorders/>
            <w:vAlign w:val="center"/>
          </w:tcPr>
          <w:p>
            <w:pPr>
              <w:pStyle w:val="TableContents"/>
              <w:bidi w:val="0"/>
              <w:spacing w:before="0" w:after="283"/>
              <w:jc w:val="both"/>
              <w:rPr/>
            </w:pPr>
            <w:r>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24.4</w:t>
            </w:r>
          </w:p>
        </w:tc>
        <w:tc>
          <w:tcPr>
            <w:tcW w:w="9728" w:type="dxa"/>
            <w:tcBorders/>
            <w:vAlign w:val="center"/>
          </w:tcPr>
          <w:p>
            <w:pPr>
              <w:pStyle w:val="TableContents"/>
              <w:bidi w:val="0"/>
              <w:spacing w:before="0" w:after="283"/>
              <w:jc w:val="both"/>
              <w:rPr/>
            </w:pPr>
            <w:r>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24.5</w:t>
            </w:r>
          </w:p>
        </w:tc>
        <w:tc>
          <w:tcPr>
            <w:tcW w:w="9728" w:type="dxa"/>
            <w:tcBorders/>
            <w:vAlign w:val="center"/>
          </w:tcPr>
          <w:p>
            <w:pPr>
              <w:pStyle w:val="TableContents"/>
              <w:bidi w:val="0"/>
              <w:spacing w:before="0" w:after="283"/>
              <w:jc w:val="both"/>
              <w:rPr/>
            </w:pPr>
            <w:r>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193"/>
        <w:gridCol w:w="8838"/>
      </w:tblGrid>
      <w:tr>
        <w:trPr/>
        <w:tc>
          <w:tcPr>
            <w:tcW w:w="17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w:t>
            </w:r>
          </w:p>
        </w:tc>
        <w:tc>
          <w:tcPr>
            <w:tcW w:w="8838" w:type="dxa"/>
            <w:tcBorders/>
            <w:vAlign w:val="center"/>
          </w:tcPr>
          <w:p>
            <w:pPr>
              <w:pStyle w:val="TableContents"/>
              <w:bidi w:val="0"/>
              <w:spacing w:before="0" w:after="283"/>
              <w:jc w:val="both"/>
              <w:rPr/>
            </w:pPr>
            <w:r>
              <w:rPr/>
              <w:t>Corporate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25.1</w:t>
            </w:r>
          </w:p>
        </w:tc>
        <w:tc>
          <w:tcPr>
            <w:tcW w:w="9728" w:type="dxa"/>
            <w:tcBorders/>
            <w:vAlign w:val="center"/>
          </w:tcPr>
          <w:p>
            <w:pPr>
              <w:pStyle w:val="TableContents"/>
              <w:bidi w:val="0"/>
              <w:spacing w:before="0" w:after="283"/>
              <w:jc w:val="both"/>
              <w:rPr/>
            </w:pPr>
            <w:r>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25.2</w:t>
            </w:r>
          </w:p>
        </w:tc>
        <w:tc>
          <w:tcPr>
            <w:tcW w:w="9728" w:type="dxa"/>
            <w:tcBorders/>
            <w:vAlign w:val="center"/>
          </w:tcPr>
          <w:p>
            <w:pPr>
              <w:pStyle w:val="TableContents"/>
              <w:bidi w:val="0"/>
              <w:spacing w:before="0" w:after="283"/>
              <w:jc w:val="both"/>
              <w:rPr/>
            </w:pPr>
            <w:r>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826"/>
        <w:gridCol w:w="9259"/>
      </w:tblGrid>
      <w:tr>
        <w:trPr/>
        <w:tc>
          <w:tcPr>
            <w:tcW w:w="1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26</w:t>
            </w:r>
          </w:p>
        </w:tc>
        <w:tc>
          <w:tcPr>
            <w:tcW w:w="9259" w:type="dxa"/>
            <w:tcBorders/>
            <w:vAlign w:val="center"/>
          </w:tcPr>
          <w:p>
            <w:pPr>
              <w:pStyle w:val="TableContents"/>
              <w:bidi w:val="0"/>
              <w:spacing w:before="0" w:after="283"/>
              <w:jc w:val="both"/>
              <w:rPr/>
            </w:pPr>
            <w:r>
              <w:rPr/>
              <w:t>Shares that May Not be Voted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and other shares in the Company that are beneficially owned by the Company shall not be voted, directly or indirectly, at any meeting and shall not be counted in determining the total number of outstanding Shares at any given time.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2205"/>
        <w:gridCol w:w="7678"/>
      </w:tblGrid>
      <w:tr>
        <w:trPr/>
        <w:tc>
          <w:tcPr>
            <w:tcW w:w="32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27</w:t>
            </w:r>
          </w:p>
        </w:tc>
        <w:tc>
          <w:tcPr>
            <w:tcW w:w="7678" w:type="dxa"/>
            <w:tcBorders/>
            <w:vAlign w:val="center"/>
          </w:tcPr>
          <w:p>
            <w:pPr>
              <w:pStyle w:val="TableContents"/>
              <w:bidi w:val="0"/>
              <w:spacing w:before="0" w:after="283"/>
              <w:jc w:val="both"/>
              <w:rPr/>
            </w:pPr>
            <w:r>
              <w:rPr/>
              <w:t>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27.1</w:t>
            </w:r>
          </w:p>
        </w:tc>
        <w:tc>
          <w:tcPr>
            <w:tcW w:w="9728" w:type="dxa"/>
            <w:tcBorders/>
            <w:vAlign w:val="center"/>
          </w:tcPr>
          <w:p>
            <w:pPr>
              <w:pStyle w:val="TableContents"/>
              <w:bidi w:val="0"/>
              <w:spacing w:before="0" w:after="283"/>
              <w:jc w:val="both"/>
              <w:rPr/>
            </w:pPr>
            <w:r>
              <w:rPr/>
              <w:t>There shall be a board of Directors consisting of not less than one Person, provided however that the Company may by Ordinary Resolution increase or reduce the limits in the number of Directors. For as long as the Shares are listed or quoted on any Designated Stock Exchange, the board of Directors shall include at least such number of Independent Directors as applicable law, rules or regulations of the Designated Stock Exchange or the Securities and Exchange Commission require.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193"/>
        <w:gridCol w:w="8838"/>
      </w:tblGrid>
      <w:tr>
        <w:trPr/>
        <w:tc>
          <w:tcPr>
            <w:tcW w:w="17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28</w:t>
            </w:r>
          </w:p>
        </w:tc>
        <w:tc>
          <w:tcPr>
            <w:tcW w:w="8838" w:type="dxa"/>
            <w:tcBorders/>
            <w:vAlign w:val="center"/>
          </w:tcPr>
          <w:p>
            <w:pPr>
              <w:pStyle w:val="TableContents"/>
              <w:bidi w:val="0"/>
              <w:spacing w:before="0" w:after="283"/>
              <w:jc w:val="both"/>
              <w:rPr/>
            </w:pPr>
            <w:r>
              <w:rPr/>
              <w:t>Powers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28.1</w:t>
            </w:r>
          </w:p>
        </w:tc>
        <w:tc>
          <w:tcPr>
            <w:tcW w:w="9728" w:type="dxa"/>
            <w:tcBorders/>
            <w:vAlign w:val="center"/>
          </w:tcPr>
          <w:p>
            <w:pPr>
              <w:pStyle w:val="TableContents"/>
              <w:bidi w:val="0"/>
              <w:spacing w:before="0" w:after="283"/>
              <w:jc w:val="both"/>
              <w:rPr/>
            </w:pPr>
            <w:r>
              <w:rPr/>
              <w:t>Subject to the provisions of the Statute, the Memorandum and the Articles and to any directions given by Ordinary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28.2</w:t>
            </w:r>
          </w:p>
        </w:tc>
        <w:tc>
          <w:tcPr>
            <w:tcW w:w="9728" w:type="dxa"/>
            <w:tcBorders/>
            <w:vAlign w:val="center"/>
          </w:tcPr>
          <w:p>
            <w:pPr>
              <w:pStyle w:val="TableContents"/>
              <w:bidi w:val="0"/>
              <w:spacing w:before="0" w:after="283"/>
              <w:jc w:val="both"/>
              <w:rPr/>
            </w:pPr>
            <w:r>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28.3</w:t>
            </w:r>
          </w:p>
        </w:tc>
        <w:tc>
          <w:tcPr>
            <w:tcW w:w="9728" w:type="dxa"/>
            <w:tcBorders/>
            <w:vAlign w:val="center"/>
          </w:tcPr>
          <w:p>
            <w:pPr>
              <w:pStyle w:val="TableContents"/>
              <w:bidi w:val="0"/>
              <w:spacing w:before="0" w:after="283"/>
              <w:jc w:val="both"/>
              <w:rPr/>
            </w:pPr>
            <w:r>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28.4</w:t>
            </w:r>
          </w:p>
        </w:tc>
        <w:tc>
          <w:tcPr>
            <w:tcW w:w="9728" w:type="dxa"/>
            <w:tcBorders/>
            <w:vAlign w:val="center"/>
          </w:tcPr>
          <w:p>
            <w:pPr>
              <w:pStyle w:val="TableContents"/>
              <w:bidi w:val="0"/>
              <w:spacing w:before="0" w:after="283"/>
              <w:jc w:val="both"/>
              <w:rPr/>
            </w:pPr>
            <w:r>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650"/>
        <w:gridCol w:w="9461"/>
      </w:tblGrid>
      <w:tr>
        <w:trPr/>
        <w:tc>
          <w:tcPr>
            <w:tcW w:w="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29</w:t>
            </w:r>
          </w:p>
        </w:tc>
        <w:tc>
          <w:tcPr>
            <w:tcW w:w="9461" w:type="dxa"/>
            <w:tcBorders/>
            <w:vAlign w:val="center"/>
          </w:tcPr>
          <w:p>
            <w:pPr>
              <w:pStyle w:val="TableContents"/>
              <w:bidi w:val="0"/>
              <w:spacing w:before="0" w:after="283"/>
              <w:jc w:val="both"/>
              <w:rPr/>
            </w:pPr>
            <w:r>
              <w:rPr/>
              <w:t>Appointment and Removal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29.1</w:t>
            </w:r>
          </w:p>
        </w:tc>
        <w:tc>
          <w:tcPr>
            <w:tcW w:w="9728" w:type="dxa"/>
            <w:tcBorders/>
            <w:vAlign w:val="center"/>
          </w:tcPr>
          <w:p>
            <w:pPr>
              <w:pStyle w:val="TableContents"/>
              <w:bidi w:val="0"/>
              <w:spacing w:before="0" w:after="283"/>
              <w:jc w:val="both"/>
              <w:rPr/>
            </w:pPr>
            <w:r>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 or may remove any Director.</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29.2</w:t>
            </w:r>
          </w:p>
        </w:tc>
        <w:tc>
          <w:tcPr>
            <w:tcW w:w="9728" w:type="dxa"/>
            <w:tcBorders/>
            <w:vAlign w:val="center"/>
          </w:tcPr>
          <w:p>
            <w:pPr>
              <w:pStyle w:val="TableContents"/>
              <w:bidi w:val="0"/>
              <w:spacing w:before="0" w:after="283"/>
              <w:jc w:val="both"/>
              <w:rPr/>
            </w:pPr>
            <w:r>
              <w:rPr/>
              <w:t>The Company may by Ordinary Resolution appoint any Person to be a Director or may by Ordinary Resolution remove any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829"/>
        <w:gridCol w:w="9255"/>
      </w:tblGrid>
      <w:tr>
        <w:trPr/>
        <w:tc>
          <w:tcPr>
            <w:tcW w:w="12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30</w:t>
            </w:r>
          </w:p>
        </w:tc>
        <w:tc>
          <w:tcPr>
            <w:tcW w:w="9255" w:type="dxa"/>
            <w:tcBorders/>
            <w:vAlign w:val="center"/>
          </w:tcPr>
          <w:p>
            <w:pPr>
              <w:pStyle w:val="TableContents"/>
              <w:bidi w:val="0"/>
              <w:spacing w:before="0" w:after="283"/>
              <w:jc w:val="both"/>
              <w:rPr/>
            </w:pPr>
            <w:r>
              <w:rPr/>
              <w:t>Vacation of Office of Director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these Articles, the office of a Director shall be vacated if:</w:t>
      </w:r>
    </w:p>
    <w:p>
      <w:pPr>
        <w:pStyle w:val="TextBody"/>
        <w:bidi w:val="0"/>
        <w:spacing w:before="0" w:after="0"/>
        <w:ind w:left="1350" w:right="0" w:hanging="36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275"/>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(a)</w:t>
            </w:r>
          </w:p>
        </w:tc>
        <w:tc>
          <w:tcPr>
            <w:tcW w:w="8660" w:type="dxa"/>
            <w:tcBorders/>
            <w:vAlign w:val="center"/>
          </w:tcPr>
          <w:p>
            <w:pPr>
              <w:pStyle w:val="TableContents"/>
              <w:bidi w:val="0"/>
              <w:spacing w:before="0" w:after="283"/>
              <w:jc w:val="both"/>
              <w:rPr/>
            </w:pPr>
            <w:r>
              <w:rPr/>
              <w:t>the Director gives notice in writing to the Company that he resigns the office of Director; or</w:t>
            </w:r>
          </w:p>
        </w:tc>
      </w:tr>
    </w:tbl>
    <w:p>
      <w:pPr>
        <w:pStyle w:val="TextBody"/>
        <w:bidi w:val="0"/>
        <w:spacing w:before="0" w:after="0"/>
        <w:ind w:left="13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both"/>
              <w:rPr/>
            </w:pPr>
            <w:r>
              <w:rPr/>
              <w:t>(b)</w:t>
            </w:r>
          </w:p>
        </w:tc>
        <w:tc>
          <w:tcPr>
            <w:tcW w:w="9928" w:type="dxa"/>
            <w:tcBorders/>
            <w:vAlign w:val="center"/>
          </w:tcPr>
          <w:p>
            <w:pPr>
              <w:pStyle w:val="TableContents"/>
              <w:bidi w:val="0"/>
              <w:spacing w:before="0" w:after="283"/>
              <w:jc w:val="both"/>
              <w:rPr/>
            </w:pPr>
            <w:r>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tc>
      </w:tr>
    </w:tbl>
    <w:p>
      <w:pPr>
        <w:pStyle w:val="TextBody"/>
        <w:bidi w:val="0"/>
        <w:spacing w:before="0" w:after="0"/>
        <w:ind w:left="13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both"/>
              <w:rPr/>
            </w:pPr>
            <w:r>
              <w:rPr/>
              <w:t>(c)</w:t>
            </w:r>
          </w:p>
        </w:tc>
        <w:tc>
          <w:tcPr>
            <w:tcW w:w="9896" w:type="dxa"/>
            <w:tcBorders/>
            <w:vAlign w:val="center"/>
          </w:tcPr>
          <w:p>
            <w:pPr>
              <w:pStyle w:val="TableContents"/>
              <w:bidi w:val="0"/>
              <w:spacing w:before="0" w:after="283"/>
              <w:jc w:val="both"/>
              <w:rPr/>
            </w:pPr>
            <w:r>
              <w:rPr/>
              <w:t>the Director dies, becomes bankrupt or makes any arrangement or composition with his creditors generally; or</w:t>
            </w:r>
          </w:p>
        </w:tc>
      </w:tr>
    </w:tbl>
    <w:p>
      <w:pPr>
        <w:pStyle w:val="TextBody"/>
        <w:bidi w:val="0"/>
        <w:spacing w:before="0" w:after="0"/>
        <w:ind w:left="13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pPr>
            <w:r>
              <w:rPr/>
              <w:t>(d)</w:t>
            </w:r>
          </w:p>
        </w:tc>
        <w:tc>
          <w:tcPr>
            <w:tcW w:w="9927" w:type="dxa"/>
            <w:tcBorders/>
            <w:vAlign w:val="center"/>
          </w:tcPr>
          <w:p>
            <w:pPr>
              <w:pStyle w:val="TableContents"/>
              <w:bidi w:val="0"/>
              <w:spacing w:before="0" w:after="283"/>
              <w:jc w:val="both"/>
              <w:rPr/>
            </w:pPr>
            <w:r>
              <w:rPr/>
              <w:t>a licensed medical practitioner who has evaluated that Director gives a written opinion to the Company stating he or she has become physically or mentally incapable of acting as a Director (with reasonable accommodations) and may remain so for more than three (3) months; or</w:t>
            </w:r>
          </w:p>
        </w:tc>
      </w:tr>
    </w:tbl>
    <w:p>
      <w:pPr>
        <w:pStyle w:val="TextBody"/>
        <w:bidi w:val="0"/>
        <w:spacing w:before="0" w:after="0"/>
        <w:ind w:left="1350" w:right="0" w:hanging="360"/>
        <w:jc w:val="both"/>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8"/>
        <w:gridCol w:w="27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(e)</w:t>
            </w:r>
          </w:p>
        </w:tc>
        <w:tc>
          <w:tcPr>
            <w:tcW w:w="8015" w:type="dxa"/>
            <w:tcBorders/>
            <w:vAlign w:val="center"/>
          </w:tcPr>
          <w:p>
            <w:pPr>
              <w:pStyle w:val="TableContents"/>
              <w:bidi w:val="0"/>
              <w:spacing w:before="0" w:after="283"/>
              <w:jc w:val="both"/>
              <w:rPr/>
            </w:pPr>
            <w:r>
              <w:rPr/>
              <w:t>the Director is removed from office pursuant to any other provision of these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993"/>
        <w:gridCol w:w="9068"/>
      </w:tblGrid>
      <w:tr>
        <w:trPr/>
        <w:tc>
          <w:tcPr>
            <w:tcW w:w="14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31</w:t>
            </w:r>
          </w:p>
        </w:tc>
        <w:tc>
          <w:tcPr>
            <w:tcW w:w="9068" w:type="dxa"/>
            <w:tcBorders/>
            <w:vAlign w:val="center"/>
          </w:tcPr>
          <w:p>
            <w:pPr>
              <w:pStyle w:val="TableContents"/>
              <w:bidi w:val="0"/>
              <w:spacing w:before="0" w:after="283"/>
              <w:jc w:val="both"/>
              <w:rPr/>
            </w:pPr>
            <w:r>
              <w:rPr/>
              <w:t>Proceedings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31.1</w:t>
            </w:r>
          </w:p>
        </w:tc>
        <w:tc>
          <w:tcPr>
            <w:tcW w:w="9728" w:type="dxa"/>
            <w:tcBorders/>
            <w:vAlign w:val="center"/>
          </w:tcPr>
          <w:p>
            <w:pPr>
              <w:pStyle w:val="TableContents"/>
              <w:bidi w:val="0"/>
              <w:spacing w:before="0" w:after="283"/>
              <w:jc w:val="both"/>
              <w:rPr/>
            </w:pPr>
            <w:r>
              <w:rPr/>
              <w:t>The quorum for the transaction of the business of the Directors may be fixed by the Directors, and unless so fixed shall be a majority of the Directors then in office.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31.2</w:t>
            </w:r>
          </w:p>
        </w:tc>
        <w:tc>
          <w:tcPr>
            <w:tcW w:w="9728" w:type="dxa"/>
            <w:tcBorders/>
            <w:vAlign w:val="center"/>
          </w:tcPr>
          <w:p>
            <w:pPr>
              <w:pStyle w:val="TableContents"/>
              <w:bidi w:val="0"/>
              <w:spacing w:before="0" w:after="283"/>
              <w:jc w:val="both"/>
              <w:rPr/>
            </w:pPr>
            <w:r>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31.3</w:t>
            </w:r>
          </w:p>
        </w:tc>
        <w:tc>
          <w:tcPr>
            <w:tcW w:w="9728" w:type="dxa"/>
            <w:tcBorders/>
            <w:vAlign w:val="center"/>
          </w:tcPr>
          <w:p>
            <w:pPr>
              <w:pStyle w:val="TableContents"/>
              <w:bidi w:val="0"/>
              <w:spacing w:before="0" w:after="283"/>
              <w:jc w:val="both"/>
              <w:rPr/>
            </w:pPr>
            <w:r>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31.4</w:t>
            </w:r>
          </w:p>
        </w:tc>
        <w:tc>
          <w:tcPr>
            <w:tcW w:w="9728" w:type="dxa"/>
            <w:tcBorders/>
            <w:vAlign w:val="center"/>
          </w:tcPr>
          <w:p>
            <w:pPr>
              <w:pStyle w:val="TableContents"/>
              <w:bidi w:val="0"/>
              <w:spacing w:before="0" w:after="283"/>
              <w:jc w:val="both"/>
              <w:rPr/>
            </w:pPr>
            <w:r>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31.5</w:t>
            </w:r>
          </w:p>
        </w:tc>
        <w:tc>
          <w:tcPr>
            <w:tcW w:w="9728" w:type="dxa"/>
            <w:tcBorders/>
            <w:vAlign w:val="center"/>
          </w:tcPr>
          <w:p>
            <w:pPr>
              <w:pStyle w:val="TableContents"/>
              <w:bidi w:val="0"/>
              <w:spacing w:before="0" w:after="283"/>
              <w:jc w:val="both"/>
              <w:rPr/>
            </w:pPr>
            <w:r>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i/>
              </w:rPr>
              <w:t>mutatis mutandis.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31.6</w:t>
            </w:r>
          </w:p>
        </w:tc>
        <w:tc>
          <w:tcPr>
            <w:tcW w:w="9728" w:type="dxa"/>
            <w:tcBorders/>
            <w:vAlign w:val="center"/>
          </w:tcPr>
          <w:p>
            <w:pPr>
              <w:pStyle w:val="TableContents"/>
              <w:bidi w:val="0"/>
              <w:spacing w:before="0" w:after="283"/>
              <w:jc w:val="both"/>
              <w:rPr/>
            </w:pPr>
            <w:r>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31.7</w:t>
            </w:r>
          </w:p>
        </w:tc>
        <w:tc>
          <w:tcPr>
            <w:tcW w:w="9728" w:type="dxa"/>
            <w:tcBorders/>
            <w:vAlign w:val="center"/>
          </w:tcPr>
          <w:p>
            <w:pPr>
              <w:pStyle w:val="TableContents"/>
              <w:bidi w:val="0"/>
              <w:spacing w:before="0" w:after="283"/>
              <w:jc w:val="both"/>
              <w:rPr/>
            </w:pPr>
            <w:r>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31.8</w:t>
            </w:r>
          </w:p>
        </w:tc>
        <w:tc>
          <w:tcPr>
            <w:tcW w:w="9728" w:type="dxa"/>
            <w:tcBorders/>
            <w:vAlign w:val="center"/>
          </w:tcPr>
          <w:p>
            <w:pPr>
              <w:pStyle w:val="TableContents"/>
              <w:bidi w:val="0"/>
              <w:spacing w:before="0" w:after="283"/>
              <w:jc w:val="both"/>
              <w:rPr/>
            </w:pPr>
            <w:r>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31.9</w:t>
            </w:r>
          </w:p>
        </w:tc>
        <w:tc>
          <w:tcPr>
            <w:tcW w:w="9728" w:type="dxa"/>
            <w:tcBorders/>
            <w:vAlign w:val="center"/>
          </w:tcPr>
          <w:p>
            <w:pPr>
              <w:pStyle w:val="TableContents"/>
              <w:bidi w:val="0"/>
              <w:spacing w:before="0" w:after="283"/>
              <w:jc w:val="both"/>
              <w:rPr/>
            </w:pPr>
            <w:r>
              <w:rPr/>
              <w:t>A Director may be represented at any meetings of the board of Directors by a proxy appointed in writing by him. The proxy shall count towards the quorum and the vote of the proxy shall for all purposes be deemed to be that of the appointing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071"/>
        <w:gridCol w:w="8978"/>
      </w:tblGrid>
      <w:tr>
        <w:trPr/>
        <w:tc>
          <w:tcPr>
            <w:tcW w:w="1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32</w:t>
            </w:r>
          </w:p>
        </w:tc>
        <w:tc>
          <w:tcPr>
            <w:tcW w:w="8978" w:type="dxa"/>
            <w:tcBorders/>
            <w:vAlign w:val="center"/>
          </w:tcPr>
          <w:p>
            <w:pPr>
              <w:pStyle w:val="TableContents"/>
              <w:bidi w:val="0"/>
              <w:spacing w:before="0" w:after="283"/>
              <w:jc w:val="both"/>
              <w:rPr/>
            </w:pPr>
            <w:r>
              <w:rPr/>
              <w:t>Presumption of Assent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253"/>
        <w:gridCol w:w="8770"/>
      </w:tblGrid>
      <w:tr>
        <w:trPr/>
        <w:tc>
          <w:tcPr>
            <w:tcW w:w="18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8770" w:type="dxa"/>
            <w:tcBorders/>
            <w:vAlign w:val="center"/>
          </w:tcPr>
          <w:p>
            <w:pPr>
              <w:pStyle w:val="TableContents"/>
              <w:bidi w:val="0"/>
              <w:spacing w:before="0" w:after="283"/>
              <w:jc w:val="left"/>
              <w:rPr/>
            </w:pPr>
            <w:r>
              <w:rPr/>
              <w:t>Directors’ Interests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33.1</w:t>
            </w:r>
          </w:p>
        </w:tc>
        <w:tc>
          <w:tcPr>
            <w:tcW w:w="9728" w:type="dxa"/>
            <w:tcBorders/>
            <w:vAlign w:val="center"/>
          </w:tcPr>
          <w:p>
            <w:pPr>
              <w:pStyle w:val="TableContents"/>
              <w:bidi w:val="0"/>
              <w:spacing w:before="0" w:after="283"/>
              <w:jc w:val="both"/>
              <w:rPr/>
            </w:pPr>
            <w:r>
              <w:rPr/>
              <w:t>A Director may hold any other office or place of profit under the Company (other than the office of Auditor) in conjunction with his office of Director for such period and on such terms as to remuneration and otherwise as the Directors may determine.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33.2</w:t>
            </w:r>
          </w:p>
        </w:tc>
        <w:tc>
          <w:tcPr>
            <w:tcW w:w="9728" w:type="dxa"/>
            <w:tcBorders/>
            <w:vAlign w:val="center"/>
          </w:tcPr>
          <w:p>
            <w:pPr>
              <w:pStyle w:val="TableContents"/>
              <w:bidi w:val="0"/>
              <w:spacing w:before="0" w:after="283"/>
              <w:jc w:val="both"/>
              <w:rPr/>
            </w:pPr>
            <w:r>
              <w:rPr/>
              <w:t>A Director may act by himself or by, through or on behalf of his firm in a professional capacity for the Company and he or his firm shall be entitled to remuneration for professional services as if he were not a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33.3</w:t>
            </w:r>
          </w:p>
        </w:tc>
        <w:tc>
          <w:tcPr>
            <w:tcW w:w="9728" w:type="dxa"/>
            <w:tcBorders/>
            <w:vAlign w:val="center"/>
          </w:tcPr>
          <w:p>
            <w:pPr>
              <w:pStyle w:val="TableContents"/>
              <w:bidi w:val="0"/>
              <w:spacing w:before="0" w:after="283"/>
              <w:jc w:val="both"/>
              <w:rPr/>
            </w:pPr>
            <w:r>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33.4</w:t>
            </w:r>
          </w:p>
        </w:tc>
        <w:tc>
          <w:tcPr>
            <w:tcW w:w="9728" w:type="dxa"/>
            <w:tcBorders/>
            <w:vAlign w:val="center"/>
          </w:tcPr>
          <w:p>
            <w:pPr>
              <w:pStyle w:val="TableContents"/>
              <w:bidi w:val="0"/>
              <w:spacing w:before="0" w:after="283"/>
              <w:jc w:val="both"/>
              <w:rPr/>
            </w:pPr>
            <w:r>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33.5</w:t>
            </w:r>
          </w:p>
        </w:tc>
        <w:tc>
          <w:tcPr>
            <w:tcW w:w="9728" w:type="dxa"/>
            <w:tcBorders/>
            <w:vAlign w:val="center"/>
          </w:tcPr>
          <w:p>
            <w:pPr>
              <w:pStyle w:val="TableContents"/>
              <w:bidi w:val="0"/>
              <w:spacing w:before="0" w:after="283"/>
              <w:jc w:val="both"/>
              <w:rPr/>
            </w:pPr>
            <w:r>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3"/>
        <w:gridCol w:w="2416"/>
        <w:gridCol w:w="7436"/>
      </w:tblGrid>
      <w:tr>
        <w:trPr/>
        <w:tc>
          <w:tcPr>
            <w:tcW w:w="353"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34</w:t>
            </w:r>
          </w:p>
        </w:tc>
        <w:tc>
          <w:tcPr>
            <w:tcW w:w="7436" w:type="dxa"/>
            <w:tcBorders/>
            <w:vAlign w:val="center"/>
          </w:tcPr>
          <w:p>
            <w:pPr>
              <w:pStyle w:val="TableContents"/>
              <w:bidi w:val="0"/>
              <w:spacing w:before="0" w:after="283"/>
              <w:jc w:val="both"/>
              <w:rPr/>
            </w:pPr>
            <w:r>
              <w:rPr/>
              <w:t>Minutes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782"/>
        <w:gridCol w:w="9309"/>
      </w:tblGrid>
      <w:tr>
        <w:trPr/>
        <w:tc>
          <w:tcPr>
            <w:tcW w:w="11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35</w:t>
            </w:r>
          </w:p>
        </w:tc>
        <w:tc>
          <w:tcPr>
            <w:tcW w:w="9309" w:type="dxa"/>
            <w:tcBorders/>
            <w:vAlign w:val="center"/>
          </w:tcPr>
          <w:p>
            <w:pPr>
              <w:pStyle w:val="TableContents"/>
              <w:bidi w:val="0"/>
              <w:spacing w:before="0" w:after="283"/>
              <w:jc w:val="both"/>
              <w:rPr/>
            </w:pPr>
            <w:r>
              <w:rPr/>
              <w:t>Delegation of Directors’ Powers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35.1</w:t>
            </w:r>
          </w:p>
        </w:tc>
        <w:tc>
          <w:tcPr>
            <w:tcW w:w="9728" w:type="dxa"/>
            <w:tcBorders/>
            <w:vAlign w:val="center"/>
          </w:tcPr>
          <w:p>
            <w:pPr>
              <w:pStyle w:val="TableContents"/>
              <w:bidi w:val="0"/>
              <w:spacing w:before="0" w:after="283"/>
              <w:jc w:val="both"/>
              <w:rPr/>
            </w:pPr>
            <w:r>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35.2</w:t>
            </w:r>
          </w:p>
        </w:tc>
        <w:tc>
          <w:tcPr>
            <w:tcW w:w="9728" w:type="dxa"/>
            <w:tcBorders/>
            <w:vAlign w:val="center"/>
          </w:tcPr>
          <w:p>
            <w:pPr>
              <w:pStyle w:val="TableContents"/>
              <w:bidi w:val="0"/>
              <w:spacing w:before="0" w:after="283"/>
              <w:jc w:val="both"/>
              <w:rPr/>
            </w:pPr>
            <w:r>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35.3</w:t>
            </w:r>
          </w:p>
        </w:tc>
        <w:tc>
          <w:tcPr>
            <w:tcW w:w="9728" w:type="dxa"/>
            <w:tcBorders/>
            <w:vAlign w:val="center"/>
          </w:tcPr>
          <w:p>
            <w:pPr>
              <w:pStyle w:val="TableContents"/>
              <w:bidi w:val="0"/>
              <w:spacing w:before="0" w:after="283"/>
              <w:jc w:val="both"/>
              <w:rPr/>
            </w:pPr>
            <w:r>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35.4</w:t>
            </w:r>
          </w:p>
        </w:tc>
        <w:tc>
          <w:tcPr>
            <w:tcW w:w="9728" w:type="dxa"/>
            <w:tcBorders/>
            <w:vAlign w:val="center"/>
          </w:tcPr>
          <w:p>
            <w:pPr>
              <w:pStyle w:val="TableContents"/>
              <w:bidi w:val="0"/>
              <w:spacing w:before="0" w:after="283"/>
              <w:jc w:val="both"/>
              <w:rPr/>
            </w:pPr>
            <w:r>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35.5</w:t>
            </w:r>
          </w:p>
        </w:tc>
        <w:tc>
          <w:tcPr>
            <w:tcW w:w="9728" w:type="dxa"/>
            <w:tcBorders/>
            <w:vAlign w:val="center"/>
          </w:tcPr>
          <w:p>
            <w:pPr>
              <w:pStyle w:val="TableContents"/>
              <w:bidi w:val="0"/>
              <w:spacing w:before="0" w:after="283"/>
              <w:jc w:val="both"/>
              <w:rPr/>
            </w:pPr>
            <w:r>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35.6</w:t>
            </w:r>
          </w:p>
        </w:tc>
        <w:tc>
          <w:tcPr>
            <w:tcW w:w="9728" w:type="dxa"/>
            <w:tcBorders/>
            <w:vAlign w:val="center"/>
          </w:tcPr>
          <w:p>
            <w:pPr>
              <w:pStyle w:val="TableContents"/>
              <w:bidi w:val="0"/>
              <w:spacing w:before="0" w:after="283"/>
              <w:jc w:val="both"/>
              <w:rPr/>
            </w:pPr>
            <w:r>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902"/>
        <w:gridCol w:w="9172"/>
      </w:tblGrid>
      <w:tr>
        <w:trPr/>
        <w:tc>
          <w:tcPr>
            <w:tcW w:w="13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36</w:t>
            </w:r>
          </w:p>
        </w:tc>
        <w:tc>
          <w:tcPr>
            <w:tcW w:w="9172" w:type="dxa"/>
            <w:tcBorders/>
            <w:vAlign w:val="center"/>
          </w:tcPr>
          <w:p>
            <w:pPr>
              <w:pStyle w:val="TableContents"/>
              <w:bidi w:val="0"/>
              <w:spacing w:before="0" w:after="283"/>
              <w:jc w:val="both"/>
              <w:rPr/>
            </w:pPr>
            <w:r>
              <w:rPr/>
              <w:t>No Minimum Shareholding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general meeting may fix a minimum shareholding required to be held by a Director, but unless and until such a shareholding qualification is fixed a Director is not required to hold Shares.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30"/>
        <w:gridCol w:w="9140"/>
      </w:tblGrid>
      <w:tr>
        <w:trPr/>
        <w:tc>
          <w:tcPr>
            <w:tcW w:w="13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37</w:t>
            </w:r>
          </w:p>
        </w:tc>
        <w:tc>
          <w:tcPr>
            <w:tcW w:w="9140" w:type="dxa"/>
            <w:tcBorders/>
            <w:vAlign w:val="center"/>
          </w:tcPr>
          <w:p>
            <w:pPr>
              <w:pStyle w:val="TableContents"/>
              <w:bidi w:val="0"/>
              <w:spacing w:before="0" w:after="283"/>
              <w:jc w:val="both"/>
              <w:rPr/>
            </w:pPr>
            <w:r>
              <w:rPr/>
              <w:t>Remuneration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37.1</w:t>
            </w:r>
          </w:p>
        </w:tc>
        <w:tc>
          <w:tcPr>
            <w:tcW w:w="9728" w:type="dxa"/>
            <w:tcBorders/>
            <w:vAlign w:val="center"/>
          </w:tcPr>
          <w:p>
            <w:pPr>
              <w:pStyle w:val="TableContents"/>
              <w:bidi w:val="0"/>
              <w:spacing w:before="0" w:after="283"/>
              <w:jc w:val="both"/>
              <w:rPr/>
            </w:pPr>
            <w:r>
              <w:rPr/>
              <w:t>The remuneration to be paid to the Directors, if any, shall be such remuneration as the Directors shall determine. The Directors shall also be entitled to be paid all travelling, hotel and other expenses properly and reasonably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37.2</w:t>
            </w:r>
          </w:p>
        </w:tc>
        <w:tc>
          <w:tcPr>
            <w:tcW w:w="9728" w:type="dxa"/>
            <w:tcBorders/>
            <w:vAlign w:val="center"/>
          </w:tcPr>
          <w:p>
            <w:pPr>
              <w:pStyle w:val="TableContents"/>
              <w:bidi w:val="0"/>
              <w:spacing w:before="0" w:after="283"/>
              <w:jc w:val="both"/>
              <w:rPr/>
            </w:pPr>
            <w:r>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5"/>
        <w:gridCol w:w="3595"/>
        <w:gridCol w:w="6085"/>
      </w:tblGrid>
      <w:tr>
        <w:trPr/>
        <w:tc>
          <w:tcPr>
            <w:tcW w:w="525" w:type="dxa"/>
            <w:tcBorders/>
            <w:vAlign w:val="center"/>
          </w:tcPr>
          <w:p>
            <w:pPr>
              <w:pStyle w:val="TableContents"/>
              <w:bidi w:val="0"/>
              <w:spacing w:before="0" w:after="283"/>
              <w:jc w:val="left"/>
              <w:rPr>
                <w:sz w:val="4"/>
                <w:szCs w:val="4"/>
              </w:rPr>
            </w:pPr>
            <w:r>
              <w:rPr>
                <w:sz w:val="4"/>
                <w:szCs w:val="4"/>
              </w:rPr>
            </w:r>
          </w:p>
        </w:tc>
        <w:tc>
          <w:tcPr>
            <w:tcW w:w="3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38</w:t>
            </w:r>
          </w:p>
        </w:tc>
        <w:tc>
          <w:tcPr>
            <w:tcW w:w="6085" w:type="dxa"/>
            <w:tcBorders/>
            <w:vAlign w:val="center"/>
          </w:tcPr>
          <w:p>
            <w:pPr>
              <w:pStyle w:val="TableContents"/>
              <w:bidi w:val="0"/>
              <w:spacing w:before="0" w:after="283"/>
              <w:jc w:val="both"/>
              <w:rPr/>
            </w:pPr>
            <w:r>
              <w:rPr/>
              <w:t>Seal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38.1</w:t>
            </w:r>
          </w:p>
        </w:tc>
        <w:tc>
          <w:tcPr>
            <w:tcW w:w="9728" w:type="dxa"/>
            <w:tcBorders/>
            <w:vAlign w:val="center"/>
          </w:tcPr>
          <w:p>
            <w:pPr>
              <w:pStyle w:val="TableContents"/>
              <w:bidi w:val="0"/>
              <w:spacing w:before="0" w:after="283"/>
              <w:jc w:val="both"/>
              <w:rPr/>
            </w:pPr>
            <w:r>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38.2</w:t>
            </w:r>
          </w:p>
        </w:tc>
        <w:tc>
          <w:tcPr>
            <w:tcW w:w="9728" w:type="dxa"/>
            <w:tcBorders/>
            <w:vAlign w:val="center"/>
          </w:tcPr>
          <w:p>
            <w:pPr>
              <w:pStyle w:val="TableContents"/>
              <w:bidi w:val="0"/>
              <w:spacing w:before="0" w:after="283"/>
              <w:jc w:val="both"/>
              <w:rPr/>
            </w:pPr>
            <w:r>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38.3</w:t>
            </w:r>
          </w:p>
        </w:tc>
        <w:tc>
          <w:tcPr>
            <w:tcW w:w="9728" w:type="dxa"/>
            <w:tcBorders/>
            <w:vAlign w:val="center"/>
          </w:tcPr>
          <w:p>
            <w:pPr>
              <w:pStyle w:val="TableContents"/>
              <w:bidi w:val="0"/>
              <w:spacing w:before="0" w:after="283"/>
              <w:jc w:val="both"/>
              <w:rPr/>
            </w:pPr>
            <w:r>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686"/>
        <w:gridCol w:w="9420"/>
      </w:tblGrid>
      <w:tr>
        <w:trPr/>
        <w:tc>
          <w:tcPr>
            <w:tcW w:w="9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39</w:t>
            </w:r>
          </w:p>
        </w:tc>
        <w:tc>
          <w:tcPr>
            <w:tcW w:w="9420" w:type="dxa"/>
            <w:tcBorders/>
            <w:vAlign w:val="center"/>
          </w:tcPr>
          <w:p>
            <w:pPr>
              <w:pStyle w:val="TableContents"/>
              <w:bidi w:val="0"/>
              <w:spacing w:before="0" w:after="283"/>
              <w:jc w:val="both"/>
              <w:rPr/>
            </w:pPr>
            <w:r>
              <w:rPr/>
              <w:t>Dividends, Distributions and Reserve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39.1</w:t>
            </w:r>
          </w:p>
        </w:tc>
        <w:tc>
          <w:tcPr>
            <w:tcW w:w="9728" w:type="dxa"/>
            <w:tcBorders/>
            <w:vAlign w:val="center"/>
          </w:tcPr>
          <w:p>
            <w:pPr>
              <w:pStyle w:val="TableContents"/>
              <w:bidi w:val="0"/>
              <w:spacing w:before="0" w:after="283"/>
              <w:jc w:val="both"/>
              <w:rPr/>
            </w:pPr>
            <w:r>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 Notwithstanding anything contained in these Articles, no Dividend shall be made on any Class A Shares unless a Dividend in equal proportion is made on the Class B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39.2</w:t>
            </w:r>
          </w:p>
        </w:tc>
        <w:tc>
          <w:tcPr>
            <w:tcW w:w="9728" w:type="dxa"/>
            <w:tcBorders/>
            <w:vAlign w:val="center"/>
          </w:tcPr>
          <w:p>
            <w:pPr>
              <w:pStyle w:val="TableContents"/>
              <w:bidi w:val="0"/>
              <w:spacing w:before="0" w:after="283"/>
              <w:jc w:val="both"/>
              <w:rPr/>
            </w:pPr>
            <w:r>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39.3</w:t>
            </w:r>
          </w:p>
        </w:tc>
        <w:tc>
          <w:tcPr>
            <w:tcW w:w="9728" w:type="dxa"/>
            <w:tcBorders/>
            <w:vAlign w:val="center"/>
          </w:tcPr>
          <w:p>
            <w:pPr>
              <w:pStyle w:val="TableContents"/>
              <w:bidi w:val="0"/>
              <w:spacing w:before="0" w:after="283"/>
              <w:jc w:val="both"/>
              <w:rPr/>
            </w:pPr>
            <w:r>
              <w:rPr/>
              <w:t>The Directors may deduct from any Dividend or other distribution payable to any Member all sums of money (if any) then payable by him to the Company on account of calls or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39.4</w:t>
            </w:r>
          </w:p>
        </w:tc>
        <w:tc>
          <w:tcPr>
            <w:tcW w:w="9728" w:type="dxa"/>
            <w:tcBorders/>
            <w:vAlign w:val="center"/>
          </w:tcPr>
          <w:p>
            <w:pPr>
              <w:pStyle w:val="TableContents"/>
              <w:bidi w:val="0"/>
              <w:spacing w:before="0" w:after="283"/>
              <w:jc w:val="both"/>
              <w:rPr/>
            </w:pPr>
            <w:r>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39.5</w:t>
            </w:r>
          </w:p>
        </w:tc>
        <w:tc>
          <w:tcPr>
            <w:tcW w:w="9728" w:type="dxa"/>
            <w:tcBorders/>
            <w:vAlign w:val="center"/>
          </w:tcPr>
          <w:p>
            <w:pPr>
              <w:pStyle w:val="TableContents"/>
              <w:bidi w:val="0"/>
              <w:spacing w:before="0" w:after="283"/>
              <w:jc w:val="both"/>
              <w:rPr/>
            </w:pPr>
            <w:r>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39.6</w:t>
            </w:r>
          </w:p>
        </w:tc>
        <w:tc>
          <w:tcPr>
            <w:tcW w:w="9728" w:type="dxa"/>
            <w:tcBorders/>
            <w:vAlign w:val="center"/>
          </w:tcPr>
          <w:p>
            <w:pPr>
              <w:pStyle w:val="TableContents"/>
              <w:bidi w:val="0"/>
              <w:spacing w:before="0" w:after="283"/>
              <w:jc w:val="both"/>
              <w:rPr/>
            </w:pPr>
            <w:r>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39.7</w:t>
            </w:r>
          </w:p>
        </w:tc>
        <w:tc>
          <w:tcPr>
            <w:tcW w:w="9728" w:type="dxa"/>
            <w:tcBorders/>
            <w:vAlign w:val="center"/>
          </w:tcPr>
          <w:p>
            <w:pPr>
              <w:pStyle w:val="TableContents"/>
              <w:bidi w:val="0"/>
              <w:spacing w:before="0" w:after="283"/>
              <w:jc w:val="both"/>
              <w:rPr/>
            </w:pPr>
            <w:r>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39.8</w:t>
            </w:r>
          </w:p>
        </w:tc>
        <w:tc>
          <w:tcPr>
            <w:tcW w:w="9728" w:type="dxa"/>
            <w:tcBorders/>
            <w:vAlign w:val="center"/>
          </w:tcPr>
          <w:p>
            <w:pPr>
              <w:pStyle w:val="TableContents"/>
              <w:bidi w:val="0"/>
              <w:spacing w:before="0" w:after="283"/>
              <w:jc w:val="both"/>
              <w:rPr/>
            </w:pPr>
            <w:r>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1635"/>
        <w:gridCol w:w="8332"/>
      </w:tblGrid>
      <w:tr>
        <w:trPr/>
        <w:tc>
          <w:tcPr>
            <w:tcW w:w="238"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40</w:t>
            </w:r>
          </w:p>
        </w:tc>
        <w:tc>
          <w:tcPr>
            <w:tcW w:w="8332" w:type="dxa"/>
            <w:tcBorders/>
            <w:vAlign w:val="center"/>
          </w:tcPr>
          <w:p>
            <w:pPr>
              <w:pStyle w:val="TableContents"/>
              <w:bidi w:val="0"/>
              <w:spacing w:before="0" w:after="283"/>
              <w:jc w:val="both"/>
              <w:rPr/>
            </w:pPr>
            <w:r>
              <w:rPr/>
              <w:t>Capitalisation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1279"/>
        <w:gridCol w:w="8739"/>
      </w:tblGrid>
      <w:tr>
        <w:trPr/>
        <w:tc>
          <w:tcPr>
            <w:tcW w:w="18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41</w:t>
            </w:r>
          </w:p>
        </w:tc>
        <w:tc>
          <w:tcPr>
            <w:tcW w:w="8739" w:type="dxa"/>
            <w:tcBorders/>
            <w:vAlign w:val="center"/>
          </w:tcPr>
          <w:p>
            <w:pPr>
              <w:pStyle w:val="TableContents"/>
              <w:bidi w:val="0"/>
              <w:spacing w:before="0" w:after="283"/>
              <w:jc w:val="both"/>
              <w:rPr/>
            </w:pPr>
            <w:r>
              <w:rPr/>
              <w:t>Books of Account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41.1</w:t>
            </w:r>
          </w:p>
        </w:tc>
        <w:tc>
          <w:tcPr>
            <w:tcW w:w="9728" w:type="dxa"/>
            <w:tcBorders/>
            <w:vAlign w:val="center"/>
          </w:tcPr>
          <w:p>
            <w:pPr>
              <w:pStyle w:val="TableContents"/>
              <w:bidi w:val="0"/>
              <w:spacing w:before="0" w:after="283"/>
              <w:jc w:val="both"/>
              <w:rPr/>
            </w:pPr>
            <w:r>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41.2</w:t>
            </w:r>
          </w:p>
        </w:tc>
        <w:tc>
          <w:tcPr>
            <w:tcW w:w="9728" w:type="dxa"/>
            <w:tcBorders/>
            <w:vAlign w:val="center"/>
          </w:tcPr>
          <w:p>
            <w:pPr>
              <w:pStyle w:val="TableContents"/>
              <w:bidi w:val="0"/>
              <w:spacing w:before="0" w:after="283"/>
              <w:jc w:val="both"/>
              <w:rPr/>
            </w:pPr>
            <w:r>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41.3</w:t>
            </w:r>
          </w:p>
        </w:tc>
        <w:tc>
          <w:tcPr>
            <w:tcW w:w="9728" w:type="dxa"/>
            <w:tcBorders/>
            <w:vAlign w:val="center"/>
          </w:tcPr>
          <w:p>
            <w:pPr>
              <w:pStyle w:val="TableContents"/>
              <w:bidi w:val="0"/>
              <w:spacing w:before="0" w:after="283"/>
              <w:jc w:val="both"/>
              <w:rPr/>
            </w:pPr>
            <w:r>
              <w:rPr/>
              <w:t>The Directors may cause to be prepared and to be laid before the Company in general meeting profit and loss accounts, balance sheets, group accounts (if any) and such other reports and accounts as may be required by law.</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4"/>
        <w:gridCol w:w="3039"/>
        <w:gridCol w:w="6722"/>
      </w:tblGrid>
      <w:tr>
        <w:trPr/>
        <w:tc>
          <w:tcPr>
            <w:tcW w:w="444"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42</w:t>
            </w:r>
          </w:p>
        </w:tc>
        <w:tc>
          <w:tcPr>
            <w:tcW w:w="6722" w:type="dxa"/>
            <w:tcBorders/>
            <w:vAlign w:val="center"/>
          </w:tcPr>
          <w:p>
            <w:pPr>
              <w:pStyle w:val="TableContents"/>
              <w:bidi w:val="0"/>
              <w:spacing w:before="0" w:after="283"/>
              <w:jc w:val="both"/>
              <w:rPr/>
            </w:pPr>
            <w:r>
              <w:rPr/>
              <w:t>Audit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42.1</w:t>
            </w:r>
          </w:p>
        </w:tc>
        <w:tc>
          <w:tcPr>
            <w:tcW w:w="9728" w:type="dxa"/>
            <w:tcBorders/>
            <w:vAlign w:val="center"/>
          </w:tcPr>
          <w:p>
            <w:pPr>
              <w:pStyle w:val="TableContents"/>
              <w:bidi w:val="0"/>
              <w:spacing w:before="0" w:after="283"/>
              <w:jc w:val="both"/>
              <w:rPr/>
            </w:pPr>
            <w:r>
              <w:rPr/>
              <w:t>The Directors may appoint an Auditor of the Company who shall hold office on such terms as the Directors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42.2</w:t>
            </w:r>
          </w:p>
        </w:tc>
        <w:tc>
          <w:tcPr>
            <w:tcW w:w="9728" w:type="dxa"/>
            <w:tcBorders/>
            <w:vAlign w:val="center"/>
          </w:tcPr>
          <w:p>
            <w:pPr>
              <w:pStyle w:val="TableContents"/>
              <w:bidi w:val="0"/>
              <w:spacing w:before="0" w:after="283"/>
              <w:jc w:val="both"/>
              <w:rPr/>
            </w:pPr>
            <w:r>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42.3</w:t>
            </w:r>
          </w:p>
        </w:tc>
        <w:tc>
          <w:tcPr>
            <w:tcW w:w="9728" w:type="dxa"/>
            <w:tcBorders/>
            <w:vAlign w:val="center"/>
          </w:tcPr>
          <w:p>
            <w:pPr>
              <w:pStyle w:val="TableContents"/>
              <w:bidi w:val="0"/>
              <w:spacing w:before="0" w:after="283"/>
              <w:jc w:val="both"/>
              <w:rPr/>
            </w:pPr>
            <w:r>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520"/>
        <w:gridCol w:w="9641"/>
      </w:tblGrid>
      <w:tr>
        <w:trPr/>
        <w:tc>
          <w:tcPr>
            <w:tcW w:w="4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both"/>
              <w:rPr/>
            </w:pPr>
            <w:r>
              <w:rPr/>
              <w:t>42.4</w:t>
            </w:r>
          </w:p>
        </w:tc>
        <w:tc>
          <w:tcPr>
            <w:tcW w:w="9641" w:type="dxa"/>
            <w:tcBorders/>
            <w:vAlign w:val="center"/>
          </w:tcPr>
          <w:p>
            <w:pPr>
              <w:pStyle w:val="TableContents"/>
              <w:bidi w:val="0"/>
              <w:spacing w:before="0" w:after="283"/>
              <w:jc w:val="both"/>
              <w:rPr/>
            </w:pPr>
            <w:r>
              <w:rPr/>
              <w:t>The remuneration of the Auditor shall be fixed by the Audit Committee (if one exists).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42.5</w:t>
            </w:r>
          </w:p>
        </w:tc>
        <w:tc>
          <w:tcPr>
            <w:tcW w:w="9728" w:type="dxa"/>
            <w:tcBorders/>
            <w:vAlign w:val="center"/>
          </w:tcPr>
          <w:p>
            <w:pPr>
              <w:pStyle w:val="TableContents"/>
              <w:bidi w:val="0"/>
              <w:spacing w:before="0" w:after="283"/>
              <w:jc w:val="both"/>
              <w:rPr/>
            </w:pPr>
            <w:r>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42.6</w:t>
            </w:r>
          </w:p>
        </w:tc>
        <w:tc>
          <w:tcPr>
            <w:tcW w:w="9728" w:type="dxa"/>
            <w:tcBorders/>
            <w:vAlign w:val="center"/>
          </w:tcPr>
          <w:p>
            <w:pPr>
              <w:pStyle w:val="TableContents"/>
              <w:bidi w:val="0"/>
              <w:spacing w:before="0" w:after="283"/>
              <w:jc w:val="both"/>
              <w:rPr/>
            </w:pPr>
            <w:r>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42.7</w:t>
            </w:r>
          </w:p>
        </w:tc>
        <w:tc>
          <w:tcPr>
            <w:tcW w:w="9728" w:type="dxa"/>
            <w:tcBorders/>
            <w:vAlign w:val="center"/>
          </w:tcPr>
          <w:p>
            <w:pPr>
              <w:pStyle w:val="TableContents"/>
              <w:bidi w:val="0"/>
              <w:spacing w:before="0" w:after="283"/>
              <w:jc w:val="both"/>
              <w:rPr/>
            </w:pPr>
            <w:r>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42.8</w:t>
            </w:r>
          </w:p>
        </w:tc>
        <w:tc>
          <w:tcPr>
            <w:tcW w:w="9728" w:type="dxa"/>
            <w:tcBorders/>
            <w:vAlign w:val="center"/>
          </w:tcPr>
          <w:p>
            <w:pPr>
              <w:pStyle w:val="TableContents"/>
              <w:bidi w:val="0"/>
              <w:spacing w:before="0" w:after="283"/>
              <w:jc w:val="both"/>
              <w:rPr/>
            </w:pPr>
            <w:r>
              <w:rPr/>
              <w:t>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2519"/>
        <w:gridCol w:w="7318"/>
      </w:tblGrid>
      <w:tr>
        <w:trPr/>
        <w:tc>
          <w:tcPr>
            <w:tcW w:w="368"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43</w:t>
            </w:r>
          </w:p>
        </w:tc>
        <w:tc>
          <w:tcPr>
            <w:tcW w:w="7318" w:type="dxa"/>
            <w:tcBorders/>
            <w:vAlign w:val="center"/>
          </w:tcPr>
          <w:p>
            <w:pPr>
              <w:pStyle w:val="TableContents"/>
              <w:bidi w:val="0"/>
              <w:spacing w:before="0" w:after="283"/>
              <w:jc w:val="both"/>
              <w:rPr/>
            </w:pPr>
            <w:r>
              <w:rPr/>
              <w:t>Notices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43.1</w:t>
            </w:r>
          </w:p>
        </w:tc>
        <w:tc>
          <w:tcPr>
            <w:tcW w:w="9728" w:type="dxa"/>
            <w:tcBorders/>
            <w:vAlign w:val="center"/>
          </w:tcPr>
          <w:p>
            <w:pPr>
              <w:pStyle w:val="TableContents"/>
              <w:bidi w:val="0"/>
              <w:spacing w:before="0" w:after="283"/>
              <w:jc w:val="both"/>
              <w:rPr/>
            </w:pPr>
            <w:r>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1526"/>
        <w:gridCol w:w="8548"/>
      </w:tblGrid>
      <w:tr>
        <w:trPr/>
        <w:tc>
          <w:tcPr>
            <w:tcW w:w="13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both"/>
              <w:rPr/>
            </w:pPr>
            <w:r>
              <w:rPr/>
              <w:t>43.2</w:t>
            </w:r>
          </w:p>
        </w:tc>
        <w:tc>
          <w:tcPr>
            <w:tcW w:w="8548" w:type="dxa"/>
            <w:tcBorders/>
            <w:vAlign w:val="center"/>
          </w:tcPr>
          <w:p>
            <w:pPr>
              <w:pStyle w:val="TableContents"/>
              <w:bidi w:val="0"/>
              <w:spacing w:before="0" w:after="283"/>
              <w:jc w:val="both"/>
              <w:rPr/>
            </w:pPr>
            <w:r>
              <w:rPr/>
              <w:t>Where a notice is sent by: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Pr>
            <w:r>
              <w:rPr/>
              <w:t>(a)</w:t>
            </w:r>
          </w:p>
        </w:tc>
        <w:tc>
          <w:tcPr>
            <w:tcW w:w="9942" w:type="dxa"/>
            <w:tcBorders/>
            <w:vAlign w:val="center"/>
          </w:tcPr>
          <w:p>
            <w:pPr>
              <w:pStyle w:val="TableContents"/>
              <w:bidi w:val="0"/>
              <w:spacing w:before="0" w:after="283"/>
              <w:jc w:val="both"/>
              <w:rPr/>
            </w:pPr>
            <w:r>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(b)</w:t>
            </w:r>
          </w:p>
        </w:tc>
        <w:tc>
          <w:tcPr>
            <w:tcW w:w="9930" w:type="dxa"/>
            <w:tcBorders/>
            <w:vAlign w:val="center"/>
          </w:tcPr>
          <w:p>
            <w:pPr>
              <w:pStyle w:val="TableContents"/>
              <w:bidi w:val="0"/>
              <w:spacing w:before="0" w:after="283"/>
              <w:jc w:val="both"/>
              <w:rPr/>
            </w:pPr>
            <w:r>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both"/>
              <w:rPr/>
            </w:pPr>
            <w:r>
              <w:rPr/>
              <w:t>(c)</w:t>
            </w:r>
          </w:p>
        </w:tc>
        <w:tc>
          <w:tcPr>
            <w:tcW w:w="9931" w:type="dxa"/>
            <w:tcBorders/>
            <w:vAlign w:val="center"/>
          </w:tcPr>
          <w:p>
            <w:pPr>
              <w:pStyle w:val="TableContents"/>
              <w:bidi w:val="0"/>
              <w:spacing w:before="0" w:after="283"/>
              <w:jc w:val="both"/>
              <w:rPr/>
            </w:pPr>
            <w:r>
              <w:rPr/>
              <w:t>cable, telex or fax; service of the notice shall be deemed to be effected by properly addressing and sending such notice and shall be deemed to have been received on the same day that it was transmitted;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pPr>
            <w:r>
              <w:rPr/>
              <w:t>(d)</w:t>
            </w:r>
          </w:p>
        </w:tc>
        <w:tc>
          <w:tcPr>
            <w:tcW w:w="9933" w:type="dxa"/>
            <w:tcBorders/>
            <w:vAlign w:val="center"/>
          </w:tcPr>
          <w:p>
            <w:pPr>
              <w:pStyle w:val="TableContents"/>
              <w:bidi w:val="0"/>
              <w:spacing w:before="0" w:after="283"/>
              <w:jc w:val="both"/>
              <w:rPr/>
            </w:pPr>
            <w:r>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both"/>
              <w:rPr/>
            </w:pPr>
            <w:r>
              <w:rPr/>
              <w:t>(e)</w:t>
            </w:r>
          </w:p>
        </w:tc>
        <w:tc>
          <w:tcPr>
            <w:tcW w:w="9925" w:type="dxa"/>
            <w:tcBorders/>
            <w:vAlign w:val="center"/>
          </w:tcPr>
          <w:p>
            <w:pPr>
              <w:pStyle w:val="TableContents"/>
              <w:bidi w:val="0"/>
              <w:spacing w:before="0" w:after="283"/>
              <w:jc w:val="both"/>
              <w:rPr/>
            </w:pPr>
            <w:r>
              <w:rPr/>
              <w:t>placing it on the Company’s Website; service of the notice shall be deemed to have been effected one hour after the notice or document was placed on the Company’s Website.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43.3</w:t>
            </w:r>
          </w:p>
        </w:tc>
        <w:tc>
          <w:tcPr>
            <w:tcW w:w="9728" w:type="dxa"/>
            <w:tcBorders/>
            <w:vAlign w:val="center"/>
          </w:tcPr>
          <w:p>
            <w:pPr>
              <w:pStyle w:val="TableContents"/>
              <w:bidi w:val="0"/>
              <w:spacing w:before="0" w:after="283"/>
              <w:jc w:val="both"/>
              <w:rPr/>
            </w:pPr>
            <w:r>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43.4</w:t>
            </w:r>
          </w:p>
        </w:tc>
        <w:tc>
          <w:tcPr>
            <w:tcW w:w="9728" w:type="dxa"/>
            <w:tcBorders/>
            <w:vAlign w:val="center"/>
          </w:tcPr>
          <w:p>
            <w:pPr>
              <w:pStyle w:val="TableContents"/>
              <w:bidi w:val="0"/>
              <w:spacing w:before="0" w:after="283"/>
              <w:jc w:val="both"/>
              <w:rPr/>
            </w:pPr>
            <w:r>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1748"/>
        <w:gridCol w:w="8202"/>
      </w:tblGrid>
      <w:tr>
        <w:trPr/>
        <w:tc>
          <w:tcPr>
            <w:tcW w:w="25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44</w:t>
            </w:r>
          </w:p>
        </w:tc>
        <w:tc>
          <w:tcPr>
            <w:tcW w:w="8202" w:type="dxa"/>
            <w:tcBorders/>
            <w:vAlign w:val="center"/>
          </w:tcPr>
          <w:p>
            <w:pPr>
              <w:pStyle w:val="TableContents"/>
              <w:bidi w:val="0"/>
              <w:spacing w:before="0" w:after="283"/>
              <w:jc w:val="both"/>
              <w:rPr/>
            </w:pPr>
            <w:r>
              <w:rPr/>
              <w:t>Winding Up</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44.1</w:t>
            </w:r>
          </w:p>
        </w:tc>
        <w:tc>
          <w:tcPr>
            <w:tcW w:w="9728" w:type="dxa"/>
            <w:tcBorders/>
            <w:vAlign w:val="center"/>
          </w:tcPr>
          <w:p>
            <w:pPr>
              <w:pStyle w:val="TableContents"/>
              <w:bidi w:val="0"/>
              <w:spacing w:before="0" w:after="283"/>
              <w:jc w:val="both"/>
              <w:rPr/>
            </w:pPr>
            <w:r>
              <w:rPr/>
              <w:t>If the Company shall be wound up, the liquidator shall apply the assets of the Company in satisfaction of creditors’ claims in such manner and order as such liquidator thinks fit. Subject to the rights attaching to any Shares, in a winding up:</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pPr>
            <w:r>
              <w:rPr/>
              <w:t>(a)</w:t>
            </w:r>
          </w:p>
        </w:tc>
        <w:tc>
          <w:tcPr>
            <w:tcW w:w="9943" w:type="dxa"/>
            <w:tcBorders/>
            <w:vAlign w:val="center"/>
          </w:tcPr>
          <w:p>
            <w:pPr>
              <w:pStyle w:val="TableContents"/>
              <w:bidi w:val="0"/>
              <w:spacing w:before="0" w:after="283"/>
              <w:jc w:val="both"/>
              <w:rPr/>
            </w:pPr>
            <w:r>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both"/>
              <w:rPr/>
            </w:pPr>
            <w:r>
              <w:rPr/>
              <w:t>(b)</w:t>
            </w:r>
          </w:p>
        </w:tc>
        <w:tc>
          <w:tcPr>
            <w:tcW w:w="9938" w:type="dxa"/>
            <w:tcBorders/>
            <w:vAlign w:val="center"/>
          </w:tcPr>
          <w:p>
            <w:pPr>
              <w:pStyle w:val="TableContents"/>
              <w:bidi w:val="0"/>
              <w:spacing w:before="0" w:after="283"/>
              <w:jc w:val="both"/>
              <w:rPr/>
            </w:pPr>
            <w:r>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44.2</w:t>
            </w:r>
          </w:p>
        </w:tc>
        <w:tc>
          <w:tcPr>
            <w:tcW w:w="9728" w:type="dxa"/>
            <w:tcBorders/>
            <w:vAlign w:val="center"/>
          </w:tcPr>
          <w:p>
            <w:pPr>
              <w:pStyle w:val="TableContents"/>
              <w:bidi w:val="0"/>
              <w:spacing w:before="0" w:after="283"/>
              <w:jc w:val="both"/>
              <w:rPr/>
            </w:pPr>
            <w:r>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993"/>
        <w:gridCol w:w="9068"/>
      </w:tblGrid>
      <w:tr>
        <w:trPr/>
        <w:tc>
          <w:tcPr>
            <w:tcW w:w="14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45</w:t>
            </w:r>
          </w:p>
        </w:tc>
        <w:tc>
          <w:tcPr>
            <w:tcW w:w="9068" w:type="dxa"/>
            <w:tcBorders/>
            <w:vAlign w:val="center"/>
          </w:tcPr>
          <w:p>
            <w:pPr>
              <w:pStyle w:val="TableContents"/>
              <w:bidi w:val="0"/>
              <w:spacing w:before="0" w:after="283"/>
              <w:jc w:val="both"/>
              <w:rPr/>
            </w:pPr>
            <w:r>
              <w:rPr/>
              <w:t>Indemnity and Insurance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45.1</w:t>
            </w:r>
          </w:p>
        </w:tc>
        <w:tc>
          <w:tcPr>
            <w:tcW w:w="9728" w:type="dxa"/>
            <w:tcBorders/>
            <w:vAlign w:val="center"/>
          </w:tcPr>
          <w:p>
            <w:pPr>
              <w:pStyle w:val="TableContents"/>
              <w:bidi w:val="0"/>
              <w:spacing w:before="0" w:after="283"/>
              <w:jc w:val="both"/>
              <w:rPr/>
            </w:pPr>
            <w:r>
              <w:rPr/>
              <w:t>Every Director and Officer (which for the avoidance of doubt, shall not include auditors of the Company), together with every former Director and former Officer (each an “</w:t>
            </w:r>
            <w:r>
              <w:rPr>
                <w:b/>
              </w:rPr>
              <w:t>Indemnified Person</w:t>
            </w:r>
            <w:r>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45.2</w:t>
            </w:r>
          </w:p>
        </w:tc>
        <w:tc>
          <w:tcPr>
            <w:tcW w:w="9728" w:type="dxa"/>
            <w:tcBorders/>
            <w:vAlign w:val="center"/>
          </w:tcPr>
          <w:p>
            <w:pPr>
              <w:pStyle w:val="TableContents"/>
              <w:bidi w:val="0"/>
              <w:spacing w:before="0" w:after="283"/>
              <w:jc w:val="both"/>
              <w:rPr/>
            </w:pPr>
            <w:r>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45.3</w:t>
            </w:r>
          </w:p>
        </w:tc>
        <w:tc>
          <w:tcPr>
            <w:tcW w:w="9728" w:type="dxa"/>
            <w:tcBorders/>
            <w:vAlign w:val="center"/>
          </w:tcPr>
          <w:p>
            <w:pPr>
              <w:pStyle w:val="TableContents"/>
              <w:bidi w:val="0"/>
              <w:spacing w:before="0" w:after="283"/>
              <w:jc w:val="both"/>
              <w:rPr/>
            </w:pPr>
            <w:r>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535"/>
        <w:gridCol w:w="8446"/>
      </w:tblGrid>
      <w:tr>
        <w:trPr/>
        <w:tc>
          <w:tcPr>
            <w:tcW w:w="22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46</w:t>
            </w:r>
          </w:p>
        </w:tc>
        <w:tc>
          <w:tcPr>
            <w:tcW w:w="8446" w:type="dxa"/>
            <w:tcBorders/>
            <w:vAlign w:val="center"/>
          </w:tcPr>
          <w:p>
            <w:pPr>
              <w:pStyle w:val="TableContents"/>
              <w:bidi w:val="0"/>
              <w:spacing w:before="0" w:after="283"/>
              <w:jc w:val="both"/>
              <w:rPr/>
            </w:pPr>
            <w:r>
              <w:rPr/>
              <w:t>Financial Year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31st December in each year and, following the year of incorporation, shall begin on 1st January in each year.</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761"/>
        <w:gridCol w:w="9333"/>
      </w:tblGrid>
      <w:tr>
        <w:trPr/>
        <w:tc>
          <w:tcPr>
            <w:tcW w:w="1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47</w:t>
            </w:r>
          </w:p>
        </w:tc>
        <w:tc>
          <w:tcPr>
            <w:tcW w:w="9333" w:type="dxa"/>
            <w:tcBorders/>
            <w:vAlign w:val="center"/>
          </w:tcPr>
          <w:p>
            <w:pPr>
              <w:pStyle w:val="TableContents"/>
              <w:bidi w:val="0"/>
              <w:spacing w:before="0" w:after="283"/>
              <w:jc w:val="both"/>
              <w:rPr/>
            </w:pPr>
            <w:r>
              <w:rPr/>
              <w:t>Transfer by Way of Continuation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888"/>
        <w:gridCol w:w="9188"/>
      </w:tblGrid>
      <w:tr>
        <w:trPr/>
        <w:tc>
          <w:tcPr>
            <w:tcW w:w="12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48</w:t>
            </w:r>
          </w:p>
        </w:tc>
        <w:tc>
          <w:tcPr>
            <w:tcW w:w="9188" w:type="dxa"/>
            <w:tcBorders/>
            <w:vAlign w:val="center"/>
          </w:tcPr>
          <w:p>
            <w:pPr>
              <w:pStyle w:val="TableContents"/>
              <w:bidi w:val="0"/>
              <w:spacing w:before="0" w:after="283"/>
              <w:jc w:val="both"/>
              <w:rPr/>
            </w:pPr>
            <w:r>
              <w:rPr/>
              <w:t>Mergers and Consolidations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052"/>
        <w:gridCol w:w="9000"/>
      </w:tblGrid>
      <w:tr>
        <w:trPr/>
        <w:tc>
          <w:tcPr>
            <w:tcW w:w="15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49</w:t>
            </w:r>
          </w:p>
        </w:tc>
        <w:tc>
          <w:tcPr>
            <w:tcW w:w="9000" w:type="dxa"/>
            <w:tcBorders/>
            <w:vAlign w:val="center"/>
          </w:tcPr>
          <w:p>
            <w:pPr>
              <w:pStyle w:val="TableContents"/>
              <w:bidi w:val="0"/>
              <w:spacing w:before="0" w:after="283"/>
              <w:jc w:val="both"/>
              <w:rPr/>
            </w:pPr>
            <w:r>
              <w:rPr/>
              <w:t>Business Opportunities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49.1</w:t>
            </w:r>
          </w:p>
        </w:tc>
        <w:tc>
          <w:tcPr>
            <w:tcW w:w="9728" w:type="dxa"/>
            <w:tcBorders/>
            <w:vAlign w:val="center"/>
          </w:tcPr>
          <w:p>
            <w:pPr>
              <w:pStyle w:val="TableContents"/>
              <w:bidi w:val="0"/>
              <w:spacing w:before="0" w:after="283"/>
              <w:jc w:val="both"/>
              <w:rPr/>
            </w:pPr>
            <w:r>
              <w:rPr/>
              <w:t>To the fullest extent permitted by Applicable Law, no individual serving as a Director or an Officer (“</w:t>
            </w:r>
            <w:r>
              <w:rPr>
                <w:b/>
              </w:rPr>
              <w:t>Management</w:t>
            </w:r>
            <w:r>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49.2</w:t>
            </w:r>
          </w:p>
        </w:tc>
        <w:tc>
          <w:tcPr>
            <w:tcW w:w="9728" w:type="dxa"/>
            <w:tcBorders/>
            <w:vAlign w:val="center"/>
          </w:tcPr>
          <w:p>
            <w:pPr>
              <w:pStyle w:val="TableContents"/>
              <w:bidi w:val="0"/>
              <w:spacing w:before="0" w:after="283"/>
              <w:jc w:val="both"/>
              <w:rPr/>
            </w:pPr>
            <w:r>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49.3</w:t>
            </w:r>
          </w:p>
        </w:tc>
        <w:tc>
          <w:tcPr>
            <w:tcW w:w="9728" w:type="dxa"/>
            <w:tcBorders/>
            <w:vAlign w:val="center"/>
          </w:tcPr>
          <w:p>
            <w:pPr>
              <w:pStyle w:val="TableContents"/>
              <w:bidi w:val="0"/>
              <w:spacing w:before="0" w:after="283"/>
              <w:jc w:val="both"/>
              <w:rPr/>
            </w:pPr>
            <w:r>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 w:name="ea030347701ex99-1.htm"/>
      <w:bookmarkStart w:id="7" w:name="ksea030347701ex991"/>
      <w:bookmarkEnd w:id="6"/>
      <w:bookmarkEnd w:id="7"/>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General Meeting of Shareholders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REPORT OF THE INSPECTOR OF ELECTION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the duly appointed Inspector of Election at the Extraordinary General Meeting of Shareholders of SAIHEAT Limited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held on August 26, 2026 (the “</w:t>
      </w:r>
      <w:r>
        <w:rPr>
          <w:rFonts w:ascii="Times New Roman;Times;Serif" w:hAnsi="Times New Roman;Times;Serif"/>
          <w:b w:val="false"/>
          <w:i w:val="false"/>
          <w:caps w:val="false"/>
          <w:smallCaps w:val="false"/>
          <w:sz w:val="20"/>
          <w:u w:val="single"/>
        </w:rPr>
        <w:t>Meeting</w:t>
      </w:r>
      <w:r>
        <w:rPr>
          <w:rFonts w:ascii="Times New Roman;Times;Serif" w:hAnsi="Times New Roman;Times;Serif"/>
          <w:b w:val="false"/>
          <w:i w:val="false"/>
          <w:caps w:val="false"/>
          <w:smallCaps w:val="false"/>
          <w:sz w:val="20"/>
        </w:rPr>
        <w:t>”), hereby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1)</w:t>
            </w:r>
          </w:p>
        </w:tc>
        <w:tc>
          <w:tcPr>
            <w:tcW w:w="9972" w:type="dxa"/>
            <w:tcBorders/>
            <w:vAlign w:val="center"/>
          </w:tcPr>
          <w:p>
            <w:pPr>
              <w:pStyle w:val="TableContents"/>
              <w:bidi w:val="0"/>
              <w:spacing w:before="0" w:after="283"/>
              <w:jc w:val="both"/>
              <w:rPr/>
            </w:pPr>
            <w:r>
              <w:rPr/>
              <w:t>Before entering upon the discharge of my duties as Inspector of Election at the Meeting, I took and signed an Oath of Inspector of Election.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both"/>
              <w:rPr/>
            </w:pPr>
            <w:r>
              <w:rPr/>
              <w:t xml:space="preserve">The Meeting was held via the Internet, at </w:t>
            </w:r>
            <w:r>
              <w:rPr>
                <w:i/>
              </w:rPr>
              <w:t>www.virtualshareholdermeeting.com/SAIH2026SM</w:t>
            </w:r>
            <w:r>
              <w:rPr/>
              <w:t>, pursuant to notice duly given.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At the close of business on August 12, 2026, the record date for the determination of shareholders entitled to vote at the Meeting, there were 1,195,249 Class A ordinary shares, each entitled to one vote, and 642,043 Class B, each entitled to 10 votes, issued and outstanding, consisting of all the voting securities of the Company.</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4)</w:t>
            </w:r>
          </w:p>
        </w:tc>
        <w:tc>
          <w:tcPr>
            <w:tcW w:w="10006" w:type="dxa"/>
            <w:tcBorders/>
            <w:vAlign w:val="center"/>
          </w:tcPr>
          <w:p>
            <w:pPr>
              <w:pStyle w:val="TableContents"/>
              <w:bidi w:val="0"/>
              <w:spacing w:before="0" w:after="283"/>
              <w:jc w:val="both"/>
              <w:rPr/>
            </w:pPr>
            <w:r>
              <w:rPr/>
              <w:t>Present, in person or by proxy, at the Meeting were holders of an aggregate of 652,854 shares of the Company’s ordinary Class A and Class B shares, voting as a single class with each Class A ordinary share carrying one vote and each Class B ordinary share carrying ten votes, and, in aggregate, 6,431,241votes, constituting a quorum.</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5)</w:t>
            </w:r>
          </w:p>
        </w:tc>
        <w:tc>
          <w:tcPr>
            <w:tcW w:w="9963" w:type="dxa"/>
            <w:tcBorders/>
            <w:vAlign w:val="center"/>
          </w:tcPr>
          <w:p>
            <w:pPr>
              <w:pStyle w:val="TableContents"/>
              <w:bidi w:val="0"/>
              <w:spacing w:before="0" w:after="283"/>
              <w:jc w:val="both"/>
              <w:rPr/>
            </w:pPr>
            <w:r>
              <w:rPr/>
              <w:t>The undersigned canvassed the votes of the Shareholders cast by ballot or proxy on the matters presented at the Meeting.</w:t>
            </w:r>
          </w:p>
        </w:tc>
      </w:tr>
    </w:tbl>
    <w:p>
      <w:pPr>
        <w:pStyle w:val="TextBody"/>
        <w:bidi w:val="0"/>
        <w:spacing w:before="0" w:after="0"/>
        <w:ind w:left="720" w:right="0" w:hanging="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15"/>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6)</w:t>
            </w:r>
          </w:p>
        </w:tc>
        <w:tc>
          <w:tcPr>
            <w:tcW w:w="7610" w:type="dxa"/>
            <w:tcBorders/>
            <w:vAlign w:val="center"/>
          </w:tcPr>
          <w:p>
            <w:pPr>
              <w:pStyle w:val="TableContents"/>
              <w:bidi w:val="0"/>
              <w:spacing w:before="0" w:after="283"/>
              <w:jc w:val="both"/>
              <w:rPr/>
            </w:pPr>
            <w:r>
              <w:rPr>
                <w:b/>
              </w:rPr>
              <w:t>Proposal No. 1.</w:t>
            </w:r>
            <w:r>
              <w:rPr/>
              <w:t xml:space="preserve"> At the Meeting, the vote to approve an ordinary resolution that: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conditional upon and effective at the Effective Time, and after giving effect to the conversion, immediately prior to the Closing, of all issued and outstanding Class B Ordinary Shares into Class A Ordinary Shares, the 145,601 authorized but unissued Class B Ordinary Shares be re-designated and reclassified as 145,601 Class A Ordinary Shares, and, as a consequence, the authorized share capital of the Company be amended:</w:t>
      </w:r>
    </w:p>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US$35,000 divided into 22,024,624 class A ordinary shares of a par value of US$0.0015 each, 642,043 convertible class B ordinary shares of a par value of US$0.0015 each, and 666,666 preference shares of a par value of US$0.0015 each, as set out in the Existing M&amp;A,</w:t>
      </w:r>
    </w:p>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US$35,000 divided into 22,170,225 class A ordinary shares of a par value of US$0.0015 each, 496,442 convertible class B ordinary shares of a par value of US$0.0015 each, and 666,666 preference shares of a par value of US$0.0015 each, as set out in the A&amp;R MAA.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 of the vote was as follows:</w:t>
      </w:r>
    </w:p>
    <w:p>
      <w:pPr>
        <w:pStyle w:val="TextBody"/>
        <w:bidi w:val="0"/>
        <w:spacing w:before="0" w:after="0"/>
        <w:ind w:left="0" w:right="0" w:hanging="0"/>
        <w:jc w:val="left"/>
        <w:rPr>
          <w:caps w:val="false"/>
          <w:smallCaps w:val="false"/>
        </w:rPr>
      </w:pPr>
      <w:r>
        <w:rPr>
          <w:caps w:val="false"/>
          <w:smallCaps w:val="false"/>
        </w:rPr>
        <w:t> </w:t>
      </w:r>
    </w:p>
    <w:tbl>
      <w:tblPr>
        <w:tblW w:w="3315" w:type="dxa"/>
        <w:jc w:val="left"/>
        <w:tblInd w:w="0" w:type="dxa"/>
        <w:tblLayout w:type="fixed"/>
        <w:tblCellMar>
          <w:top w:w="0" w:type="dxa"/>
          <w:left w:w="0" w:type="dxa"/>
          <w:bottom w:w="28" w:type="dxa"/>
          <w:right w:w="0" w:type="dxa"/>
        </w:tblCellMar>
      </w:tblPr>
      <w:tblGrid>
        <w:gridCol w:w="995"/>
        <w:gridCol w:w="60"/>
        <w:gridCol w:w="1100"/>
        <w:gridCol w:w="60"/>
        <w:gridCol w:w="1100"/>
      </w:tblGrid>
      <w:tr>
        <w:trPr/>
        <w:tc>
          <w:tcPr>
            <w:tcW w:w="995" w:type="dxa"/>
            <w:tcBorders>
              <w:bottom w:val="single" w:sz="12" w:space="0" w:color="000000"/>
            </w:tcBorders>
            <w:vAlign w:val="center"/>
          </w:tcPr>
          <w:p>
            <w:pPr>
              <w:pStyle w:val="TableContents"/>
              <w:bidi w:val="0"/>
              <w:spacing w:before="0" w:after="283"/>
              <w:jc w:val="center"/>
              <w:rPr/>
            </w:pPr>
            <w:r>
              <w:rPr/>
              <w:t>FOR</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pPr>
            <w:r>
              <w:rPr/>
              <w:t>AGAINST</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pPr>
            <w:r>
              <w:rPr/>
              <w:t>ABSTAIN</w:t>
            </w:r>
          </w:p>
        </w:tc>
      </w:tr>
      <w:tr>
        <w:trPr/>
        <w:tc>
          <w:tcPr>
            <w:tcW w:w="995" w:type="dxa"/>
            <w:tcBorders/>
            <w:shd w:fill="CCEEFF" w:val="clear"/>
            <w:tcMar>
              <w:bottom w:w="0" w:type="dxa"/>
            </w:tcMar>
            <w:vAlign w:val="center"/>
          </w:tcPr>
          <w:p>
            <w:pPr>
              <w:pStyle w:val="TableContents"/>
              <w:bidi w:val="0"/>
              <w:spacing w:before="0" w:after="283"/>
              <w:jc w:val="center"/>
              <w:rPr/>
            </w:pPr>
            <w:r>
              <w:rPr/>
              <w:t>6,430,956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255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30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b/>
              </w:rPr>
            </w:pPr>
            <w:r>
              <w:rPr>
                <w:b/>
              </w:rPr>
              <w:t>7)</w:t>
            </w:r>
          </w:p>
        </w:tc>
        <w:tc>
          <w:tcPr>
            <w:tcW w:w="10000" w:type="dxa"/>
            <w:tcBorders/>
            <w:vAlign w:val="center"/>
          </w:tcPr>
          <w:p>
            <w:pPr>
              <w:pStyle w:val="TableContents"/>
              <w:bidi w:val="0"/>
              <w:spacing w:before="0" w:after="283"/>
              <w:jc w:val="both"/>
              <w:rPr/>
            </w:pPr>
            <w:r>
              <w:rPr>
                <w:b/>
              </w:rPr>
              <w:t xml:space="preserve">Proposal No. 2. </w:t>
            </w:r>
            <w:r>
              <w:rPr/>
              <w:t>At the Meeting, the vote to approve a special resolution that the change of the name of the Company from “SAIHEAT Limited” to “Canopy Wave Holdings Inc.” be approved, conditional upon and effective at the Effective Time, was as follows:</w:t>
            </w:r>
          </w:p>
        </w:tc>
      </w:tr>
    </w:tbl>
    <w:p>
      <w:pPr>
        <w:pStyle w:val="TextBody"/>
        <w:bidi w:val="0"/>
        <w:spacing w:before="0" w:after="0"/>
        <w:ind w:left="360" w:right="0" w:hanging="0"/>
        <w:jc w:val="left"/>
        <w:rPr>
          <w:caps w:val="false"/>
          <w:smallCaps w:val="false"/>
        </w:rPr>
      </w:pPr>
      <w:r>
        <w:rPr>
          <w:caps w:val="false"/>
          <w:smallCaps w:val="false"/>
        </w:rPr>
        <w:t> </w:t>
      </w:r>
    </w:p>
    <w:tbl>
      <w:tblPr>
        <w:tblW w:w="3315" w:type="dxa"/>
        <w:jc w:val="left"/>
        <w:tblInd w:w="0" w:type="dxa"/>
        <w:tblLayout w:type="fixed"/>
        <w:tblCellMar>
          <w:top w:w="0" w:type="dxa"/>
          <w:left w:w="0" w:type="dxa"/>
          <w:bottom w:w="28" w:type="dxa"/>
          <w:right w:w="0" w:type="dxa"/>
        </w:tblCellMar>
      </w:tblPr>
      <w:tblGrid>
        <w:gridCol w:w="995"/>
        <w:gridCol w:w="60"/>
        <w:gridCol w:w="1100"/>
        <w:gridCol w:w="60"/>
        <w:gridCol w:w="1100"/>
      </w:tblGrid>
      <w:tr>
        <w:trPr/>
        <w:tc>
          <w:tcPr>
            <w:tcW w:w="995" w:type="dxa"/>
            <w:tcBorders>
              <w:bottom w:val="single" w:sz="12" w:space="0" w:color="000000"/>
            </w:tcBorders>
            <w:vAlign w:val="center"/>
          </w:tcPr>
          <w:p>
            <w:pPr>
              <w:pStyle w:val="TableContents"/>
              <w:bidi w:val="0"/>
              <w:spacing w:before="0" w:after="283"/>
              <w:jc w:val="center"/>
              <w:rPr/>
            </w:pPr>
            <w:r>
              <w:rPr/>
              <w:t>FOR</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pPr>
            <w:r>
              <w:rPr/>
              <w:t>AGAINST</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pPr>
            <w:r>
              <w:rPr/>
              <w:t>ABSTAIN</w:t>
            </w:r>
          </w:p>
        </w:tc>
      </w:tr>
      <w:tr>
        <w:trPr/>
        <w:tc>
          <w:tcPr>
            <w:tcW w:w="995" w:type="dxa"/>
            <w:tcBorders/>
            <w:shd w:fill="CCEEFF" w:val="clear"/>
            <w:tcMar>
              <w:bottom w:w="0" w:type="dxa"/>
            </w:tcMar>
            <w:vAlign w:val="center"/>
          </w:tcPr>
          <w:p>
            <w:pPr>
              <w:pStyle w:val="TableContents"/>
              <w:bidi w:val="0"/>
              <w:spacing w:before="0" w:after="283"/>
              <w:jc w:val="center"/>
              <w:rPr/>
            </w:pPr>
            <w:r>
              <w:rPr/>
              <w:t>6,430,944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30</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8)</w:t>
            </w:r>
          </w:p>
        </w:tc>
        <w:tc>
          <w:tcPr>
            <w:tcW w:w="10011" w:type="dxa"/>
            <w:tcBorders/>
            <w:vAlign w:val="center"/>
          </w:tcPr>
          <w:p>
            <w:pPr>
              <w:pStyle w:val="TableContents"/>
              <w:bidi w:val="0"/>
              <w:spacing w:before="0" w:after="283"/>
              <w:jc w:val="both"/>
              <w:rPr/>
            </w:pPr>
            <w:r>
              <w:rPr>
                <w:b/>
              </w:rPr>
              <w:t>Proposal No. 3</w:t>
            </w:r>
            <w:r>
              <w:rPr/>
              <w:t>. At the Meeting, the vote to approve an ordinary resolution that the fixing of the number of directors constituting the Company’s board of directors at five (5) immediately following the Effective Time, a majority of whom shall qualify as “independent directors” as defined in Nasdaq rules and be eligible to serve on an audit committee, conditional upon and effective at the Effective Time, be approved, was as follows:</w:t>
            </w:r>
          </w:p>
        </w:tc>
      </w:tr>
    </w:tbl>
    <w:p>
      <w:pPr>
        <w:pStyle w:val="TextBody"/>
        <w:bidi w:val="0"/>
        <w:spacing w:before="0" w:after="0"/>
        <w:ind w:left="0" w:right="0" w:firstLine="720"/>
        <w:jc w:val="left"/>
        <w:rPr>
          <w:caps w:val="false"/>
          <w:smallCaps w:val="false"/>
        </w:rPr>
      </w:pPr>
      <w:r>
        <w:rPr>
          <w:caps w:val="false"/>
          <w:smallCaps w:val="false"/>
        </w:rPr>
        <w:t> </w:t>
      </w:r>
    </w:p>
    <w:tbl>
      <w:tblPr>
        <w:tblW w:w="3315" w:type="dxa"/>
        <w:jc w:val="left"/>
        <w:tblInd w:w="0" w:type="dxa"/>
        <w:tblLayout w:type="fixed"/>
        <w:tblCellMar>
          <w:top w:w="0" w:type="dxa"/>
          <w:left w:w="0" w:type="dxa"/>
          <w:bottom w:w="28" w:type="dxa"/>
          <w:right w:w="0" w:type="dxa"/>
        </w:tblCellMar>
      </w:tblPr>
      <w:tblGrid>
        <w:gridCol w:w="995"/>
        <w:gridCol w:w="60"/>
        <w:gridCol w:w="1100"/>
        <w:gridCol w:w="60"/>
        <w:gridCol w:w="1100"/>
      </w:tblGrid>
      <w:tr>
        <w:trPr/>
        <w:tc>
          <w:tcPr>
            <w:tcW w:w="995" w:type="dxa"/>
            <w:tcBorders>
              <w:bottom w:val="single" w:sz="12" w:space="0" w:color="000000"/>
            </w:tcBorders>
            <w:vAlign w:val="center"/>
          </w:tcPr>
          <w:p>
            <w:pPr>
              <w:pStyle w:val="TableContents"/>
              <w:bidi w:val="0"/>
              <w:spacing w:before="0" w:after="283"/>
              <w:jc w:val="center"/>
              <w:rPr/>
            </w:pPr>
            <w:r>
              <w:rPr/>
              <w:t>FOR</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pPr>
            <w:r>
              <w:rPr/>
              <w:t>AGAINST</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pPr>
            <w:r>
              <w:rPr/>
              <w:t>ABSTAIN</w:t>
            </w:r>
          </w:p>
        </w:tc>
      </w:tr>
      <w:tr>
        <w:trPr/>
        <w:tc>
          <w:tcPr>
            <w:tcW w:w="995" w:type="dxa"/>
            <w:tcBorders/>
            <w:shd w:fill="CCEEFF" w:val="clear"/>
            <w:tcMar>
              <w:bottom w:w="0" w:type="dxa"/>
            </w:tcMar>
            <w:vAlign w:val="center"/>
          </w:tcPr>
          <w:p>
            <w:pPr>
              <w:pStyle w:val="TableContents"/>
              <w:bidi w:val="0"/>
              <w:spacing w:before="0" w:after="283"/>
              <w:jc w:val="center"/>
              <w:rPr/>
            </w:pPr>
            <w:r>
              <w:rPr/>
              <w:t>6,430,944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30</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9)</w:t>
            </w:r>
          </w:p>
        </w:tc>
        <w:tc>
          <w:tcPr>
            <w:tcW w:w="10006" w:type="dxa"/>
            <w:tcBorders/>
            <w:vAlign w:val="center"/>
          </w:tcPr>
          <w:p>
            <w:pPr>
              <w:pStyle w:val="TableContents"/>
              <w:bidi w:val="0"/>
              <w:spacing w:before="0" w:after="283"/>
              <w:jc w:val="both"/>
              <w:rPr/>
            </w:pPr>
            <w:r>
              <w:rPr>
                <w:b/>
              </w:rPr>
              <w:t>Proposal No. 4</w:t>
            </w:r>
            <w:r>
              <w:rPr/>
              <w:t>. At the Meeting, the vote to approve a special resolution that the adoption of the A&amp;R MAA, in the form furnished as Exhibit 99.3 to the Company’s Report on Form 6-K, in substitution for, and to the exclusion of, the Existing M&amp;A, conditional upon and effective at the Effective Time, be approved, was as follows:</w:t>
            </w:r>
          </w:p>
        </w:tc>
      </w:tr>
    </w:tbl>
    <w:p>
      <w:pPr>
        <w:pStyle w:val="TextBody"/>
        <w:bidi w:val="0"/>
        <w:spacing w:before="0" w:after="0"/>
        <w:ind w:left="0" w:right="0" w:firstLine="720"/>
        <w:jc w:val="left"/>
        <w:rPr>
          <w:caps w:val="false"/>
          <w:smallCaps w:val="false"/>
        </w:rPr>
      </w:pPr>
      <w:r>
        <w:rPr>
          <w:caps w:val="false"/>
          <w:smallCaps w:val="false"/>
        </w:rPr>
        <w:t> </w:t>
      </w:r>
    </w:p>
    <w:tbl>
      <w:tblPr>
        <w:tblW w:w="3315" w:type="dxa"/>
        <w:jc w:val="left"/>
        <w:tblInd w:w="0" w:type="dxa"/>
        <w:tblLayout w:type="fixed"/>
        <w:tblCellMar>
          <w:top w:w="0" w:type="dxa"/>
          <w:left w:w="0" w:type="dxa"/>
          <w:bottom w:w="28" w:type="dxa"/>
          <w:right w:w="0" w:type="dxa"/>
        </w:tblCellMar>
      </w:tblPr>
      <w:tblGrid>
        <w:gridCol w:w="995"/>
        <w:gridCol w:w="60"/>
        <w:gridCol w:w="1100"/>
        <w:gridCol w:w="60"/>
        <w:gridCol w:w="1100"/>
      </w:tblGrid>
      <w:tr>
        <w:trPr/>
        <w:tc>
          <w:tcPr>
            <w:tcW w:w="995" w:type="dxa"/>
            <w:tcBorders>
              <w:bottom w:val="single" w:sz="12" w:space="0" w:color="000000"/>
            </w:tcBorders>
            <w:vAlign w:val="center"/>
          </w:tcPr>
          <w:p>
            <w:pPr>
              <w:pStyle w:val="TableContents"/>
              <w:bidi w:val="0"/>
              <w:spacing w:before="0" w:after="283"/>
              <w:jc w:val="center"/>
              <w:rPr/>
            </w:pPr>
            <w:r>
              <w:rPr/>
              <w:t>FOR</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pPr>
            <w:r>
              <w:rPr/>
              <w:t>AGAINST</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pPr>
            <w:r>
              <w:rPr/>
              <w:t>ABSTAIN</w:t>
            </w:r>
          </w:p>
        </w:tc>
      </w:tr>
      <w:tr>
        <w:trPr/>
        <w:tc>
          <w:tcPr>
            <w:tcW w:w="995" w:type="dxa"/>
            <w:tcBorders/>
            <w:shd w:fill="CCEEFF" w:val="clear"/>
            <w:tcMar>
              <w:bottom w:w="0" w:type="dxa"/>
            </w:tcMar>
            <w:vAlign w:val="center"/>
          </w:tcPr>
          <w:p>
            <w:pPr>
              <w:pStyle w:val="TableContents"/>
              <w:bidi w:val="0"/>
              <w:spacing w:before="0" w:after="283"/>
              <w:jc w:val="center"/>
              <w:rPr/>
            </w:pPr>
            <w:r>
              <w:rPr/>
              <w:t>6,430,956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255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30</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10)</w:t>
            </w:r>
          </w:p>
        </w:tc>
        <w:tc>
          <w:tcPr>
            <w:tcW w:w="9893" w:type="dxa"/>
            <w:tcBorders/>
            <w:vAlign w:val="center"/>
          </w:tcPr>
          <w:p>
            <w:pPr>
              <w:pStyle w:val="TableContents"/>
              <w:bidi w:val="0"/>
              <w:spacing w:before="0" w:after="283"/>
              <w:jc w:val="both"/>
              <w:rPr/>
            </w:pPr>
            <w:r>
              <w:rPr>
                <w:b/>
              </w:rPr>
              <w:t>Proposal No. 5</w:t>
            </w:r>
            <w:r>
              <w:rPr/>
              <w:t>. At the Meeting, the vote to approve an ordinary resolution that the issuance and allotment of the Consideration Shares in connection with the Merger, the issuance and allotment of the PIPE Shares pursuant to the PIPE Share Purchase Agreement, and the change of control of the Company resulting from the Merger, in each case for the purposes of Nasdaq Listing Rule 5635(a), (b) and (d) and conditional upon and effective at the Effective Time, be approved, was as follows:</w:t>
            </w:r>
          </w:p>
        </w:tc>
      </w:tr>
    </w:tbl>
    <w:p>
      <w:pPr>
        <w:pStyle w:val="TextBody"/>
        <w:bidi w:val="0"/>
        <w:spacing w:before="0" w:after="0"/>
        <w:ind w:left="0" w:right="0" w:firstLine="720"/>
        <w:jc w:val="left"/>
        <w:rPr>
          <w:caps w:val="false"/>
          <w:smallCaps w:val="false"/>
        </w:rPr>
      </w:pPr>
      <w:r>
        <w:rPr>
          <w:caps w:val="false"/>
          <w:smallCaps w:val="false"/>
        </w:rPr>
        <w:t> </w:t>
      </w:r>
    </w:p>
    <w:tbl>
      <w:tblPr>
        <w:tblW w:w="3315" w:type="dxa"/>
        <w:jc w:val="left"/>
        <w:tblInd w:w="0" w:type="dxa"/>
        <w:tblLayout w:type="fixed"/>
        <w:tblCellMar>
          <w:top w:w="0" w:type="dxa"/>
          <w:left w:w="0" w:type="dxa"/>
          <w:bottom w:w="28" w:type="dxa"/>
          <w:right w:w="0" w:type="dxa"/>
        </w:tblCellMar>
      </w:tblPr>
      <w:tblGrid>
        <w:gridCol w:w="995"/>
        <w:gridCol w:w="60"/>
        <w:gridCol w:w="1100"/>
        <w:gridCol w:w="60"/>
        <w:gridCol w:w="1100"/>
      </w:tblGrid>
      <w:tr>
        <w:trPr/>
        <w:tc>
          <w:tcPr>
            <w:tcW w:w="995" w:type="dxa"/>
            <w:tcBorders>
              <w:bottom w:val="single" w:sz="12" w:space="0" w:color="000000"/>
            </w:tcBorders>
            <w:vAlign w:val="center"/>
          </w:tcPr>
          <w:p>
            <w:pPr>
              <w:pStyle w:val="TableContents"/>
              <w:bidi w:val="0"/>
              <w:spacing w:before="0" w:after="283"/>
              <w:jc w:val="center"/>
              <w:rPr/>
            </w:pPr>
            <w:r>
              <w:rPr/>
              <w:t>FOR</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pPr>
            <w:r>
              <w:rPr/>
              <w:t>AGAINST</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pPr>
            <w:r>
              <w:rPr/>
              <w:t>ABSTAIN</w:t>
            </w:r>
          </w:p>
        </w:tc>
      </w:tr>
      <w:tr>
        <w:trPr/>
        <w:tc>
          <w:tcPr>
            <w:tcW w:w="995" w:type="dxa"/>
            <w:tcBorders/>
            <w:shd w:fill="CCEEFF" w:val="clear"/>
            <w:tcMar>
              <w:bottom w:w="0" w:type="dxa"/>
            </w:tcMar>
            <w:vAlign w:val="center"/>
          </w:tcPr>
          <w:p>
            <w:pPr>
              <w:pStyle w:val="TableContents"/>
              <w:bidi w:val="0"/>
              <w:spacing w:before="0" w:after="283"/>
              <w:jc w:val="center"/>
              <w:rPr/>
            </w:pPr>
            <w:r>
              <w:rPr/>
              <w:t>6,430,956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255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30</w:t>
            </w:r>
          </w:p>
        </w:tc>
      </w:tr>
    </w:tbl>
    <w:p>
      <w:pPr>
        <w:pStyle w:val="TextBody"/>
        <w:bidi w:val="0"/>
        <w:spacing w:before="0" w:after="0"/>
        <w:ind w:left="0" w:right="0" w:firstLine="72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335"/>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11)</w:t>
            </w:r>
          </w:p>
        </w:tc>
        <w:tc>
          <w:tcPr>
            <w:tcW w:w="7610" w:type="dxa"/>
            <w:tcBorders/>
            <w:vAlign w:val="center"/>
          </w:tcPr>
          <w:p>
            <w:pPr>
              <w:pStyle w:val="TableContents"/>
              <w:bidi w:val="0"/>
              <w:spacing w:before="0" w:after="283"/>
              <w:jc w:val="left"/>
              <w:rPr/>
            </w:pPr>
            <w:r>
              <w:rPr>
                <w:b/>
              </w:rPr>
              <w:t>Proposal No. 6</w:t>
            </w:r>
            <w:r>
              <w:rPr/>
              <w:t>. At the Meeting, the vote to approve an ordinary resolution that:</w:t>
            </w:r>
          </w:p>
        </w:tc>
      </w:tr>
    </w:tbl>
    <w:p>
      <w:pPr>
        <w:pStyle w:val="TextBody"/>
        <w:bidi w:val="0"/>
        <w:spacing w:before="0" w:after="0"/>
        <w:ind w:left="36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23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240" w:type="dxa"/>
            <w:tcBorders/>
            <w:vAlign w:val="center"/>
          </w:tcPr>
          <w:p>
            <w:pPr>
              <w:pStyle w:val="TableContents"/>
              <w:bidi w:val="0"/>
              <w:spacing w:before="0" w:after="283"/>
              <w:jc w:val="both"/>
              <w:rPr/>
            </w:pPr>
            <w:r>
              <w:rPr/>
              <w:t>the Merger Agreement;</w:t>
            </w:r>
          </w:p>
        </w:tc>
      </w:tr>
    </w:tbl>
    <w:p>
      <w:pPr>
        <w:pStyle w:val="TextBody"/>
        <w:bidi w:val="0"/>
        <w:spacing w:before="0" w:after="0"/>
        <w:ind w:left="1080" w:right="0" w:firstLine="36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29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200" w:type="dxa"/>
            <w:tcBorders/>
            <w:vAlign w:val="center"/>
          </w:tcPr>
          <w:p>
            <w:pPr>
              <w:pStyle w:val="TableContents"/>
              <w:bidi w:val="0"/>
              <w:spacing w:before="0" w:after="283"/>
              <w:jc w:val="both"/>
              <w:rPr/>
            </w:pPr>
            <w:r>
              <w:rPr/>
              <w:t>the other Transaction Agreements referred to in the EGM Notice;</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both"/>
              <w:rPr/>
            </w:pPr>
            <w:r>
              <w:rPr/>
              <w:t>the completion of the transactions contemplated by the Merger Agreement and such other Transaction Agreements, in accordance with the terms and subject to the conditions set forth therein, be approved in all respects; and</w:t>
            </w:r>
          </w:p>
        </w:tc>
      </w:tr>
    </w:tbl>
    <w:p>
      <w:pPr>
        <w:pStyle w:val="TextBody"/>
        <w:bidi w:val="0"/>
        <w:spacing w:before="0" w:after="0"/>
        <w:ind w:left="360" w:right="0" w:firstLine="21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(iv)</w:t>
            </w:r>
          </w:p>
        </w:tc>
        <w:tc>
          <w:tcPr>
            <w:tcW w:w="9873" w:type="dxa"/>
            <w:tcBorders/>
            <w:vAlign w:val="center"/>
          </w:tcPr>
          <w:p>
            <w:pPr>
              <w:pStyle w:val="TableContents"/>
              <w:bidi w:val="0"/>
              <w:spacing w:before="0" w:after="283"/>
              <w:jc w:val="both"/>
              <w:rPr/>
            </w:pPr>
            <w:r>
              <w:rPr/>
              <w:t>that any director be authorized, for and on behalf of the Company, to do all such acts and things and to execute and deliver, as a deed or under seal if required, all such documents as he considers necessary, desirable or expedient in connection with, or ancillary to, the transactions contemplated by the Merger Agreement and such other Transaction Agreements.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 of the vote was as follows:</w:t>
      </w:r>
    </w:p>
    <w:p>
      <w:pPr>
        <w:pStyle w:val="TextBody"/>
        <w:bidi w:val="0"/>
        <w:spacing w:before="0" w:after="0"/>
        <w:ind w:left="0" w:right="0" w:firstLine="720"/>
        <w:jc w:val="left"/>
        <w:rPr>
          <w:caps w:val="false"/>
          <w:smallCaps w:val="false"/>
        </w:rPr>
      </w:pPr>
      <w:r>
        <w:rPr>
          <w:caps w:val="false"/>
          <w:smallCaps w:val="false"/>
        </w:rPr>
        <w:t> </w:t>
      </w:r>
    </w:p>
    <w:tbl>
      <w:tblPr>
        <w:tblW w:w="2730" w:type="dxa"/>
        <w:jc w:val="left"/>
        <w:tblInd w:w="0" w:type="dxa"/>
        <w:tblLayout w:type="fixed"/>
        <w:tblCellMar>
          <w:top w:w="0" w:type="dxa"/>
          <w:left w:w="0" w:type="dxa"/>
          <w:bottom w:w="28" w:type="dxa"/>
          <w:right w:w="0" w:type="dxa"/>
        </w:tblCellMar>
      </w:tblPr>
      <w:tblGrid>
        <w:gridCol w:w="905"/>
        <w:gridCol w:w="60"/>
        <w:gridCol w:w="845"/>
        <w:gridCol w:w="60"/>
        <w:gridCol w:w="860"/>
      </w:tblGrid>
      <w:tr>
        <w:trPr/>
        <w:tc>
          <w:tcPr>
            <w:tcW w:w="905" w:type="dxa"/>
            <w:tcBorders>
              <w:bottom w:val="single" w:sz="12"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12"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12" w:space="0" w:color="000000"/>
            </w:tcBorders>
            <w:vAlign w:val="center"/>
          </w:tcPr>
          <w:p>
            <w:pPr>
              <w:pStyle w:val="TableContents"/>
              <w:bidi w:val="0"/>
              <w:spacing w:before="0" w:after="283"/>
              <w:jc w:val="center"/>
              <w:rPr>
                <w:sz w:val="20"/>
              </w:rPr>
            </w:pPr>
            <w:r>
              <w:rPr>
                <w:sz w:val="20"/>
              </w:rPr>
              <w:t>ABSTAIN</w:t>
            </w:r>
          </w:p>
        </w:tc>
      </w:tr>
      <w:tr>
        <w:trPr/>
        <w:tc>
          <w:tcPr>
            <w:tcW w:w="905" w:type="dxa"/>
            <w:tcBorders/>
            <w:shd w:fill="CCEEFF" w:val="clear"/>
            <w:tcMar>
              <w:bottom w:w="0" w:type="dxa"/>
            </w:tcMar>
            <w:vAlign w:val="center"/>
          </w:tcPr>
          <w:p>
            <w:pPr>
              <w:pStyle w:val="TableContents"/>
              <w:bidi w:val="0"/>
              <w:spacing w:before="0" w:after="283"/>
              <w:jc w:val="center"/>
              <w:rPr>
                <w:sz w:val="20"/>
              </w:rPr>
            </w:pPr>
            <w:r>
              <w:rPr>
                <w:sz w:val="20"/>
              </w:rPr>
              <w:t xml:space="preserve">6,430,956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255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60" w:type="dxa"/>
            <w:tcBorders/>
            <w:shd w:fill="CCEEFF" w:val="clear"/>
            <w:tcMar>
              <w:bottom w:w="0" w:type="dxa"/>
            </w:tcMar>
            <w:vAlign w:val="center"/>
          </w:tcPr>
          <w:p>
            <w:pPr>
              <w:pStyle w:val="TableContents"/>
              <w:bidi w:val="0"/>
              <w:spacing w:before="0" w:after="283"/>
              <w:jc w:val="center"/>
              <w:rPr>
                <w:sz w:val="20"/>
              </w:rPr>
            </w:pPr>
            <w:r>
              <w:rPr>
                <w:sz w:val="20"/>
              </w:rPr>
              <w:t>30</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12)</w:t>
            </w:r>
          </w:p>
        </w:tc>
        <w:tc>
          <w:tcPr>
            <w:tcW w:w="9890" w:type="dxa"/>
            <w:tcBorders/>
            <w:vAlign w:val="center"/>
          </w:tcPr>
          <w:p>
            <w:pPr>
              <w:pStyle w:val="TableContents"/>
              <w:bidi w:val="0"/>
              <w:spacing w:before="0" w:after="283"/>
              <w:jc w:val="both"/>
              <w:rPr/>
            </w:pPr>
            <w:r>
              <w:rPr>
                <w:b/>
              </w:rPr>
              <w:t>Proposal No. 7</w:t>
            </w:r>
            <w:r>
              <w:rPr/>
              <w:t>. At the Meeting, the vote to approve an ordinary resolution that the adjournment of the Extraordinary General Meeting by the Chair thereof to a later date or dates, if necessary or appropriate, to permit further solicitation of proxies in the event that there are insufficient votes at the time of the Extraordinary General Meeting to approve any of the foregoing proposals, be approved was as follows:</w:t>
            </w:r>
          </w:p>
        </w:tc>
      </w:tr>
    </w:tbl>
    <w:p>
      <w:pPr>
        <w:pStyle w:val="TextBody"/>
        <w:bidi w:val="0"/>
        <w:spacing w:before="0" w:after="0"/>
        <w:ind w:left="0" w:right="0" w:firstLine="720"/>
        <w:jc w:val="left"/>
        <w:rPr>
          <w:caps w:val="false"/>
          <w:smallCaps w:val="false"/>
        </w:rPr>
      </w:pPr>
      <w:r>
        <w:rPr>
          <w:caps w:val="false"/>
          <w:smallCaps w:val="false"/>
        </w:rPr>
        <w:t> </w:t>
      </w:r>
    </w:p>
    <w:tbl>
      <w:tblPr>
        <w:tblW w:w="2730" w:type="dxa"/>
        <w:jc w:val="left"/>
        <w:tblInd w:w="0" w:type="dxa"/>
        <w:tblLayout w:type="fixed"/>
        <w:tblCellMar>
          <w:top w:w="0" w:type="dxa"/>
          <w:left w:w="0" w:type="dxa"/>
          <w:bottom w:w="28" w:type="dxa"/>
          <w:right w:w="0" w:type="dxa"/>
        </w:tblCellMar>
      </w:tblPr>
      <w:tblGrid>
        <w:gridCol w:w="905"/>
        <w:gridCol w:w="60"/>
        <w:gridCol w:w="845"/>
        <w:gridCol w:w="60"/>
        <w:gridCol w:w="860"/>
      </w:tblGrid>
      <w:tr>
        <w:trPr/>
        <w:tc>
          <w:tcPr>
            <w:tcW w:w="905" w:type="dxa"/>
            <w:tcBorders>
              <w:bottom w:val="single" w:sz="12"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12"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12" w:space="0" w:color="000000"/>
            </w:tcBorders>
            <w:vAlign w:val="center"/>
          </w:tcPr>
          <w:p>
            <w:pPr>
              <w:pStyle w:val="TableContents"/>
              <w:bidi w:val="0"/>
              <w:spacing w:before="0" w:after="283"/>
              <w:jc w:val="center"/>
              <w:rPr>
                <w:sz w:val="20"/>
              </w:rPr>
            </w:pPr>
            <w:r>
              <w:rPr>
                <w:sz w:val="20"/>
              </w:rPr>
              <w:t>ABSTAIN</w:t>
            </w:r>
          </w:p>
        </w:tc>
      </w:tr>
      <w:tr>
        <w:trPr/>
        <w:tc>
          <w:tcPr>
            <w:tcW w:w="905" w:type="dxa"/>
            <w:tcBorders/>
            <w:shd w:fill="CCEEFF" w:val="clear"/>
            <w:tcMar>
              <w:bottom w:w="0" w:type="dxa"/>
            </w:tcMar>
            <w:vAlign w:val="center"/>
          </w:tcPr>
          <w:p>
            <w:pPr>
              <w:pStyle w:val="TableContents"/>
              <w:bidi w:val="0"/>
              <w:spacing w:before="0" w:after="283"/>
              <w:jc w:val="center"/>
              <w:rPr>
                <w:sz w:val="20"/>
              </w:rPr>
            </w:pPr>
            <w:r>
              <w:rPr>
                <w:sz w:val="20"/>
              </w:rPr>
              <w:t xml:space="preserve">6,430,854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356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60" w:type="dxa"/>
            <w:tcBorders/>
            <w:shd w:fill="CCEEFF" w:val="clear"/>
            <w:tcMar>
              <w:bottom w:w="0" w:type="dxa"/>
            </w:tcMar>
            <w:vAlign w:val="center"/>
          </w:tcPr>
          <w:p>
            <w:pPr>
              <w:pStyle w:val="TableContents"/>
              <w:bidi w:val="0"/>
              <w:spacing w:before="0" w:after="283"/>
              <w:jc w:val="center"/>
              <w:rPr>
                <w:sz w:val="20"/>
              </w:rPr>
            </w:pPr>
            <w:r>
              <w:rPr>
                <w:sz w:val="20"/>
              </w:rPr>
              <w:t>31</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made this Final Report and have hereunto set my hand on this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720"/>
        <w:jc w:val="left"/>
        <w:rPr>
          <w:caps w:val="false"/>
          <w:smallCaps w:val="false"/>
        </w:rPr>
      </w:pPr>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10"/>
        <w:gridCol w:w="75"/>
      </w:tblGrid>
      <w:tr>
        <w:trPr/>
        <w:tc>
          <w:tcPr>
            <w:tcW w:w="2210" w:type="dxa"/>
            <w:tcBorders>
              <w:bottom w:val="single" w:sz="12" w:space="0" w:color="000000"/>
            </w:tcBorders>
            <w:vAlign w:val="center"/>
          </w:tcPr>
          <w:p>
            <w:pPr>
              <w:pStyle w:val="TableContents"/>
              <w:bidi w:val="0"/>
              <w:spacing w:before="0" w:after="283"/>
              <w:jc w:val="left"/>
              <w:rPr/>
            </w:pPr>
            <w:r>
              <w:rPr/>
              <w:t>/</w:t>
            </w:r>
            <w:r>
              <w:rPr>
                <w:i/>
              </w:rPr>
              <w:t>s/ Anthony P. Carideo</w:t>
            </w:r>
          </w:p>
        </w:tc>
        <w:tc>
          <w:tcPr>
            <w:tcW w:w="75"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Inspector of Election</w:t>
            </w:r>
          </w:p>
        </w:tc>
        <w:tc>
          <w:tcPr>
            <w:tcW w:w="75"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Anthony P. Carideo</w:t>
            </w:r>
          </w:p>
        </w:tc>
        <w:tc>
          <w:tcPr>
            <w:tcW w:w="75"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79</Pages>
  <Words>36556</Words>
  <Characters>177857</Characters>
  <CharactersWithSpaces>214338</CharactersWithSpaces>
  <Paragraphs>3145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